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="312" w:afterLines="100" w:afterAutospacing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哲学系逻辑学双学位专业招生简章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eastAsia="宋体" w:cs="Times New Roman"/>
          <w:b/>
          <w:i w:val="0"/>
          <w:strike w:val="0"/>
          <w:dstrike w:val="0"/>
          <w:snapToGrid/>
          <w:color w:val="auto"/>
          <w:w w:val="100"/>
          <w:kern w:val="2"/>
          <w:sz w:val="24"/>
          <w:szCs w:val="24"/>
          <w:u w:val="none"/>
          <w:vertAlign w:val="baseline"/>
          <w:rtl w:val="0"/>
          <w:lang w:val="en-US" w:eastAsia="zh-CN" w:bidi="en-US"/>
        </w:rPr>
        <w:t>专业历史沿革和特色</w:t>
      </w:r>
    </w:p>
    <w:p>
      <w:pPr>
        <w:spacing w:beforeAutospacing="0" w:afterAutospacing="0" w:line="360" w:lineRule="auto"/>
        <w:ind w:left="360"/>
        <w:rPr>
          <w:rFonts w:hint="eastAsia" w:ascii="宋体" w:hAnsi="宋体" w:eastAsia="宋体" w:cs="Times New Roman"/>
          <w:b w:val="0"/>
          <w:i w:val="0"/>
          <w:strike w:val="0"/>
          <w:dstrike w:val="0"/>
          <w:snapToGrid/>
          <w:w w:val="100"/>
          <w:kern w:val="2"/>
          <w:sz w:val="24"/>
          <w:szCs w:val="24"/>
          <w:u w:val="none"/>
          <w:vertAlign w:val="baseline"/>
          <w:lang w:val="en-US" w:eastAsia="zh-CN" w:bidi="en-US"/>
        </w:rPr>
      </w:pPr>
      <w:r>
        <w:rPr>
          <w:rFonts w:hint="eastAsia" w:ascii="宋体" w:hAnsi="宋体" w:eastAsia="宋体" w:cs="Times New Roman"/>
          <w:b w:val="0"/>
          <w:i w:val="0"/>
          <w:strike w:val="0"/>
          <w:dstrike w:val="0"/>
          <w:snapToGrid/>
          <w:color w:val="auto"/>
          <w:w w:val="100"/>
          <w:kern w:val="2"/>
          <w:sz w:val="24"/>
          <w:szCs w:val="24"/>
          <w:u w:val="none"/>
          <w:vertAlign w:val="baseline"/>
          <w:rtl w:val="0"/>
          <w:lang w:val="en-US" w:eastAsia="zh-CN" w:bidi="en-US"/>
        </w:rPr>
        <w:t>北京大学是逻辑学在中国的发源地，包括严复、胡适等校长在内的北大人对逻辑学传入中国做出了奠基性的贡献，章士钊、张申府、汪奠基、金岳霖、沈有鼎、王宪钧等几代北大哲学系教授引领并推动了现代逻辑在中国的发展，胡世华、吴允增、马希文等教授又对逻辑学与数学、语言学以及计算机科学的交叉做出了开创性的贡献，使得北大在国内逻辑学的教学与科研方面具有不可替代的重要地位。北大哲学系的逻辑学本科专业成立于1987年，是我国最早设立的以现代逻辑为主要方向的逻辑学本科专业，</w:t>
      </w:r>
      <w:r>
        <w:rPr>
          <w:rFonts w:hint="eastAsia" w:ascii="宋体" w:hAnsi="宋体" w:eastAsia="宋体" w:cs="Times New Roman"/>
          <w:b w:val="0"/>
          <w:i w:val="0"/>
          <w:strike w:val="0"/>
          <w:dstrike w:val="0"/>
          <w:snapToGrid/>
          <w:w w:val="100"/>
          <w:kern w:val="2"/>
          <w:sz w:val="24"/>
          <w:szCs w:val="24"/>
          <w:u w:val="none"/>
          <w:vertAlign w:val="baseline"/>
          <w:lang w:val="en-US" w:eastAsia="zh-CN" w:bidi="en-US"/>
        </w:rPr>
        <w:t>现增设逻辑学双学位项目</w:t>
      </w:r>
      <w:r>
        <w:rPr>
          <w:rFonts w:hint="default" w:ascii="宋体" w:hAnsi="宋体" w:eastAsia="宋体" w:cs="Times New Roman"/>
          <w:b w:val="0"/>
          <w:i w:val="0"/>
          <w:strike w:val="0"/>
          <w:dstrike w:val="0"/>
          <w:snapToGrid/>
          <w:w w:val="100"/>
          <w:kern w:val="2"/>
          <w:sz w:val="24"/>
          <w:szCs w:val="24"/>
          <w:u w:val="none"/>
          <w:vertAlign w:val="baseline"/>
          <w:lang w:val="en-US" w:eastAsia="zh-CN" w:bidi="en-US"/>
        </w:rPr>
        <w:t>。</w:t>
      </w:r>
    </w:p>
    <w:p>
      <w:pPr>
        <w:numPr>
          <w:ilvl w:val="0"/>
          <w:numId w:val="1"/>
        </w:numPr>
        <w:tabs>
          <w:tab w:val="clear" w:pos="360"/>
        </w:tabs>
        <w:spacing w:beforeAutospacing="0" w:afterAutospacing="0" w:line="360" w:lineRule="auto"/>
        <w:ind w:left="360"/>
        <w:rPr>
          <w:rFonts w:hint="eastAsia" w:ascii="宋体" w:hAnsi="宋体" w:cs="Times New Roman"/>
          <w:b w:val="0"/>
          <w:i w:val="0"/>
          <w:strike w:val="0"/>
          <w:dstrike w:val="0"/>
          <w:snapToGrid/>
          <w:w w:val="100"/>
          <w:kern w:val="2"/>
          <w:sz w:val="24"/>
          <w:szCs w:val="24"/>
          <w:u w:val="none"/>
          <w:vertAlign w:val="baseline"/>
          <w:lang w:val="en-US" w:eastAsia="zh-CN" w:bidi="en-US"/>
        </w:rPr>
      </w:pPr>
      <w:r>
        <w:rPr>
          <w:rFonts w:hint="eastAsia" w:ascii="宋体" w:hAnsi="宋体"/>
          <w:b/>
          <w:sz w:val="24"/>
          <w:szCs w:val="24"/>
        </w:rPr>
        <w:t>培养目标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 w:eastAsia="宋体" w:cs="Times New Roman"/>
          <w:b w:val="0"/>
          <w:i w:val="0"/>
          <w:strike w:val="0"/>
          <w:dstrike w:val="0"/>
          <w:snapToGrid/>
          <w:w w:val="100"/>
          <w:kern w:val="2"/>
          <w:sz w:val="24"/>
          <w:szCs w:val="24"/>
          <w:u w:val="none"/>
          <w:vertAlign w:val="baseline"/>
          <w:lang w:val="en-US" w:eastAsia="zh-CN" w:bidi="en-US"/>
        </w:rPr>
        <w:t>逻辑学专业双学位项目旨在培养具有哲学和逻辑学的基础知识，拥有跨学科视野的复合型人才，结合主修专业的训练，使学生能够使用逻辑学的工具从事与哲学、数学、计算机</w:t>
      </w:r>
      <w:r>
        <w:rPr>
          <w:rFonts w:hint="eastAsia" w:ascii="宋体" w:hAnsi="宋体" w:eastAsia="宋体" w:cs="Times New Roman"/>
          <w:b w:val="0"/>
          <w:i w:val="0"/>
          <w:strike w:val="0"/>
          <w:dstrike w:val="0"/>
          <w:snapToGrid/>
          <w:w w:val="100"/>
          <w:kern w:val="2"/>
          <w:sz w:val="24"/>
          <w:szCs w:val="24"/>
          <w:u w:val="none"/>
          <w:vertAlign w:val="baseline"/>
        </w:rPr>
        <w:t>以及语言学等相关学科的交叉研究和应用。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招生对象</w:t>
      </w:r>
      <w:r>
        <w:rPr>
          <w:rFonts w:hint="eastAsia" w:ascii="宋体" w:hAnsi="宋体"/>
          <w:sz w:val="24"/>
          <w:szCs w:val="24"/>
        </w:rPr>
        <w:t>：逻辑学专业的课程需要三个教学年度完成，按学校双学位专业课程与主修专业课程“同质要求、同质管理”的规定，逻辑学双学位只招收大学一年级的同学申报。今年</w:t>
      </w:r>
      <w:r>
        <w:rPr>
          <w:rFonts w:hint="eastAsia" w:ascii="宋体" w:hAnsi="宋体"/>
          <w:color w:val="000000"/>
          <w:sz w:val="24"/>
          <w:szCs w:val="24"/>
        </w:rPr>
        <w:t>接受20</w:t>
      </w:r>
      <w:r>
        <w:rPr>
          <w:rFonts w:ascii="宋体" w:hAnsi="宋体"/>
          <w:color w:val="000000"/>
          <w:sz w:val="24"/>
          <w:szCs w:val="24"/>
        </w:rPr>
        <w:t>21</w:t>
      </w:r>
      <w:r>
        <w:rPr>
          <w:rFonts w:hint="eastAsia" w:ascii="宋体" w:hAnsi="宋体"/>
          <w:color w:val="000000"/>
          <w:sz w:val="24"/>
          <w:szCs w:val="24"/>
        </w:rPr>
        <w:t>级在读本科学生报名。要求申双的</w:t>
      </w:r>
      <w:r>
        <w:rPr>
          <w:rFonts w:hint="eastAsia" w:ascii="宋体" w:hAnsi="宋体"/>
          <w:sz w:val="24"/>
          <w:szCs w:val="24"/>
        </w:rPr>
        <w:t>学生已修课程没有不及格成绩且平均绩点在</w:t>
      </w: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.0以上，学有余力，思想品德好，主修专业未受到任何形式的处分，对哲学与逻辑学有浓厚兴趣。特别欢迎数学</w:t>
      </w:r>
      <w:r>
        <w:rPr>
          <w:rFonts w:hint="default" w:ascii="宋体" w:hAnsi="宋体"/>
          <w:sz w:val="24"/>
          <w:szCs w:val="24"/>
        </w:rPr>
        <w:t>、计算机、语言学、经济学背景的同学申请。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学分</w:t>
      </w:r>
      <w:r>
        <w:rPr>
          <w:rFonts w:hint="eastAsia" w:ascii="宋体" w:hAnsi="宋体"/>
          <w:sz w:val="24"/>
          <w:szCs w:val="24"/>
        </w:rPr>
        <w:t>：双学位：4</w:t>
      </w:r>
      <w:r>
        <w:rPr>
          <w:rFonts w:hint="default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 xml:space="preserve">学分 </w:t>
      </w:r>
      <w:r>
        <w:rPr>
          <w:rFonts w:ascii="宋体" w:hAnsi="宋体"/>
          <w:sz w:val="24"/>
          <w:szCs w:val="24"/>
        </w:rPr>
        <w:t xml:space="preserve"> 辅修 24学分</w:t>
      </w:r>
    </w:p>
    <w:p>
      <w:pPr>
        <w:numPr>
          <w:ilvl w:val="0"/>
          <w:numId w:val="1"/>
        </w:numPr>
        <w:tabs>
          <w:tab w:val="clear" w:pos="360"/>
        </w:tabs>
        <w:spacing w:beforeAutospacing="0" w:afterAutospacing="0"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学历与学位：</w:t>
      </w:r>
      <w:r>
        <w:rPr>
          <w:rFonts w:hint="eastAsia" w:ascii="宋体" w:hAnsi="宋体"/>
          <w:sz w:val="24"/>
          <w:szCs w:val="24"/>
        </w:rPr>
        <w:t>以学校相关规定为准。</w:t>
      </w:r>
      <w:r>
        <w:rPr>
          <w:rFonts w:hint="eastAsia" w:ascii="宋体" w:hAnsi="宋体" w:eastAsia="宋体" w:cs="Times New Roman"/>
          <w:b w:val="0"/>
          <w:i w:val="0"/>
          <w:strike w:val="0"/>
          <w:dstrike w:val="0"/>
          <w:snapToGrid/>
          <w:w w:val="100"/>
          <w:kern w:val="2"/>
          <w:sz w:val="24"/>
          <w:szCs w:val="24"/>
          <w:u w:val="none"/>
          <w:vertAlign w:val="baseline"/>
          <w:lang w:val="en-US" w:eastAsia="zh-CN" w:bidi="en-US"/>
        </w:rPr>
        <w:t xml:space="preserve">授予双学位类型：哲学学士学位。 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选课要求及课程设置：</w:t>
      </w:r>
    </w:p>
    <w:p>
      <w:pPr>
        <w:numPr>
          <w:ilvl w:val="0"/>
          <w:numId w:val="2"/>
        </w:numPr>
        <w:spacing w:beforeAutospacing="0" w:afterAutospacing="0"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双学位课程</w:t>
      </w:r>
      <w:r>
        <w:rPr>
          <w:rFonts w:hint="eastAsia" w:ascii="宋体" w:hAnsi="宋体"/>
          <w:sz w:val="24"/>
          <w:szCs w:val="24"/>
          <w:lang w:eastAsia="zh-Hans"/>
        </w:rPr>
        <w:t>（</w:t>
      </w:r>
      <w:r>
        <w:rPr>
          <w:rFonts w:hint="eastAsia" w:ascii="宋体" w:hAnsi="宋体"/>
          <w:sz w:val="24"/>
          <w:szCs w:val="24"/>
          <w:lang w:val="en-US" w:eastAsia="zh-Hans"/>
        </w:rPr>
        <w:t>辅修</w:t>
      </w:r>
      <w:r>
        <w:rPr>
          <w:rFonts w:hint="eastAsia" w:ascii="宋体" w:hAnsi="宋体"/>
          <w:sz w:val="24"/>
          <w:szCs w:val="24"/>
          <w:lang w:eastAsia="zh-Hans"/>
        </w:rPr>
        <w:t>）</w:t>
      </w:r>
      <w:r>
        <w:rPr>
          <w:rFonts w:hint="eastAsia" w:ascii="宋体" w:hAnsi="宋体"/>
          <w:sz w:val="24"/>
          <w:szCs w:val="24"/>
        </w:rPr>
        <w:t>与主修课程同一课堂授课，不单独开班；</w:t>
      </w:r>
    </w:p>
    <w:p>
      <w:pPr>
        <w:numPr>
          <w:ilvl w:val="0"/>
          <w:numId w:val="2"/>
        </w:numPr>
        <w:spacing w:beforeAutospacing="0" w:afterAutospacing="0"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修读双学位的同学应在前两年内完成专业必修课的学习。哲学系将于大三下（第9周起）进行选课审查。未能如期完成专业必修课的同学，将不准许继续修读双学位；</w:t>
      </w:r>
    </w:p>
    <w:p>
      <w:pPr>
        <w:spacing w:beforeAutospacing="0" w:afterAutospacing="0" w:line="360" w:lineRule="auto"/>
        <w:ind w:left="360"/>
        <w:rPr>
          <w:rFonts w:ascii="宋体" w:hAnsi="宋体"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C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ascii="宋体" w:hAnsi="宋体"/>
          <w:b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双学位课程</w:t>
      </w:r>
      <w:r>
        <w:rPr>
          <w:rFonts w:hint="eastAsia" w:ascii="宋体" w:hAnsi="宋体"/>
          <w:sz w:val="24"/>
          <w:szCs w:val="24"/>
          <w:lang w:eastAsia="zh-Hans"/>
        </w:rPr>
        <w:t>（</w:t>
      </w:r>
      <w:r>
        <w:rPr>
          <w:rFonts w:hint="eastAsia" w:ascii="宋体" w:hAnsi="宋体"/>
          <w:sz w:val="24"/>
          <w:szCs w:val="24"/>
          <w:lang w:val="en-US" w:eastAsia="zh-Hans"/>
        </w:rPr>
        <w:t>辅修</w:t>
      </w:r>
      <w:r>
        <w:rPr>
          <w:rFonts w:hint="eastAsia" w:ascii="宋体" w:hAnsi="宋体"/>
          <w:sz w:val="24"/>
          <w:szCs w:val="24"/>
          <w:lang w:eastAsia="zh-Hans"/>
        </w:rPr>
        <w:t>）</w:t>
      </w:r>
      <w:r>
        <w:rPr>
          <w:rFonts w:hint="eastAsia" w:ascii="宋体" w:hAnsi="宋体"/>
          <w:sz w:val="24"/>
          <w:szCs w:val="24"/>
        </w:rPr>
        <w:t>不得申请以自修方式取得学分。</w:t>
      </w:r>
    </w:p>
    <w:p>
      <w:pPr>
        <w:spacing w:beforeAutospacing="0" w:afterAutospacing="0" w:line="360" w:lineRule="auto"/>
        <w:ind w:left="36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D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ascii="宋体" w:hAnsi="宋体"/>
          <w:b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因重修或缓考等特殊原因申请冲突选课的情况，应根据C项要求及学校相关规定执行。（重修及缓考课程申请冲突选课时需提交相关课程的出勤证明）；</w:t>
      </w:r>
    </w:p>
    <w:p>
      <w:pPr>
        <w:numPr>
          <w:ilvl w:val="0"/>
          <w:numId w:val="3"/>
        </w:numPr>
        <w:spacing w:beforeAutospacing="0" w:afterAutospacing="0"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专业核心课程（双学位</w:t>
      </w:r>
      <w:r>
        <w:rPr>
          <w:rFonts w:hint="default" w:ascii="宋体" w:hAnsi="宋体"/>
          <w:b/>
          <w:sz w:val="24"/>
          <w:szCs w:val="24"/>
        </w:rPr>
        <w:t>：29</w:t>
      </w:r>
      <w:r>
        <w:rPr>
          <w:rFonts w:hint="eastAsia" w:ascii="宋体" w:hAnsi="宋体"/>
          <w:b/>
          <w:sz w:val="24"/>
          <w:szCs w:val="24"/>
        </w:rPr>
        <w:t>学分</w:t>
      </w:r>
      <w:r>
        <w:rPr>
          <w:rFonts w:hint="default" w:ascii="宋体" w:hAnsi="宋体"/>
          <w:b/>
          <w:sz w:val="24"/>
          <w:szCs w:val="24"/>
        </w:rPr>
        <w:t>；</w:t>
      </w:r>
      <w:r>
        <w:rPr>
          <w:rFonts w:hint="eastAsia" w:ascii="宋体" w:hAnsi="宋体"/>
          <w:b/>
          <w:sz w:val="24"/>
          <w:szCs w:val="24"/>
        </w:rPr>
        <w:t xml:space="preserve"> 辅修</w:t>
      </w:r>
      <w:r>
        <w:rPr>
          <w:rFonts w:hint="default" w:ascii="宋体" w:hAnsi="宋体"/>
          <w:b/>
          <w:sz w:val="24"/>
          <w:szCs w:val="24"/>
        </w:rPr>
        <w:t>：18学分，不包括: 中国哲学（上）及讨论班、西方哲学（上）及讨论班、毕业论文</w:t>
      </w:r>
      <w:r>
        <w:rPr>
          <w:rFonts w:hint="eastAsia" w:ascii="宋体" w:hAnsi="宋体"/>
          <w:b/>
          <w:sz w:val="24"/>
          <w:szCs w:val="24"/>
        </w:rPr>
        <w:t>）：</w:t>
      </w:r>
    </w:p>
    <w:p>
      <w:pPr>
        <w:spacing w:beforeAutospacing="0" w:afterAutospacing="0" w:line="360" w:lineRule="auto"/>
        <w:ind w:left="78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专业必修课：2</w:t>
      </w:r>
      <w:r>
        <w:rPr>
          <w:rFonts w:hint="default" w:ascii="宋体" w:hAnsi="宋体"/>
          <w:b/>
          <w:sz w:val="24"/>
          <w:szCs w:val="24"/>
        </w:rPr>
        <w:t>4</w:t>
      </w:r>
      <w:r>
        <w:rPr>
          <w:rFonts w:hint="eastAsia" w:ascii="宋体" w:hAnsi="宋体"/>
          <w:b/>
          <w:sz w:val="24"/>
          <w:szCs w:val="24"/>
        </w:rPr>
        <w:t>学分</w:t>
      </w:r>
    </w:p>
    <w:tbl>
      <w:tblPr>
        <w:tblStyle w:val="19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3891"/>
        <w:gridCol w:w="1161"/>
        <w:gridCol w:w="879"/>
        <w:gridCol w:w="1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ascii="Calibri" w:eastAsia="宋体" w:cs="Times New Roman"/>
                <w:b/>
              </w:rPr>
            </w:pPr>
            <w:r>
              <w:rPr>
                <w:rFonts w:hint="eastAsia" w:ascii="Calibri" w:eastAsia="宋体" w:cs="Times New Roman"/>
                <w:b/>
              </w:rPr>
              <w:t>课号</w:t>
            </w: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ascii="Calibri" w:eastAsia="宋体" w:cs="Times New Roman"/>
                <w:b/>
              </w:rPr>
            </w:pPr>
            <w:r>
              <w:rPr>
                <w:rFonts w:hint="eastAsia" w:ascii="Calibri" w:eastAsia="宋体" w:cs="Times New Roman"/>
                <w:b/>
              </w:rPr>
              <w:t>课程名称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Calibri" w:eastAsia="宋体" w:cs="Times New Roman"/>
                <w:b/>
              </w:rPr>
            </w:pPr>
            <w:r>
              <w:rPr>
                <w:rFonts w:hint="eastAsia" w:ascii="Calibri" w:eastAsia="宋体" w:cs="Times New Roman"/>
                <w:b/>
              </w:rPr>
              <w:t>学分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Calibri" w:eastAsia="宋体" w:cs="Times New Roman"/>
                <w:b/>
              </w:rPr>
            </w:pPr>
            <w:r>
              <w:rPr>
                <w:rFonts w:hint="eastAsia" w:ascii="Calibri" w:eastAsia="宋体" w:cs="Times New Roman"/>
                <w:b/>
              </w:rPr>
              <w:t>周学时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Calibri" w:eastAsia="宋体" w:cs="Times New Roman"/>
                <w:b/>
              </w:rPr>
            </w:pPr>
            <w:r>
              <w:rPr>
                <w:rFonts w:hint="eastAsia" w:ascii="Calibri" w:eastAsia="宋体" w:cs="Times New Roman"/>
                <w:b/>
              </w:rPr>
              <w:t>选课学期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</w:tcPr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02330003&amp;</w:t>
            </w:r>
            <w:r>
              <w:rPr>
                <w:rFonts w:ascii="宋体" w:hAnsi="宋体" w:eastAsia="宋体" w:cs="Times New Roman"/>
              </w:rPr>
              <w:t xml:space="preserve"> 02330004</w:t>
            </w:r>
          </w:p>
        </w:tc>
        <w:tc>
          <w:tcPr>
            <w:tcW w:w="3280" w:type="dxa"/>
          </w:tcPr>
          <w:p>
            <w:pPr>
              <w:tabs>
                <w:tab w:val="left" w:pos="426"/>
              </w:tabs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哲学导论&amp;</w:t>
            </w:r>
          </w:p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哲学导论讨论班</w:t>
            </w:r>
          </w:p>
        </w:tc>
        <w:tc>
          <w:tcPr>
            <w:tcW w:w="979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</w:p>
        </w:tc>
        <w:tc>
          <w:tcPr>
            <w:tcW w:w="741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</w:p>
        </w:tc>
        <w:tc>
          <w:tcPr>
            <w:tcW w:w="1583" w:type="dxa"/>
          </w:tcPr>
          <w:p>
            <w:pPr>
              <w:tabs>
                <w:tab w:val="left" w:pos="426"/>
              </w:tabs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20</w:t>
            </w:r>
            <w:r>
              <w:rPr>
                <w:rFonts w:hint="eastAsia" w:ascii="宋体" w:hAnsi="宋体" w:eastAsia="宋体" w:cs="Times New Roman"/>
              </w:rPr>
              <w:t>2</w:t>
            </w:r>
            <w:r>
              <w:rPr>
                <w:rFonts w:ascii="宋体" w:hAnsi="宋体" w:eastAsia="宋体" w:cs="Times New Roman"/>
              </w:rPr>
              <w:t>2</w:t>
            </w:r>
            <w:r>
              <w:rPr>
                <w:rFonts w:hint="eastAsia" w:ascii="宋体" w:hAnsi="宋体" w:eastAsia="宋体" w:cs="Times New Roman"/>
              </w:rPr>
              <w:t>-</w:t>
            </w:r>
            <w:r>
              <w:rPr>
                <w:rFonts w:ascii="宋体" w:hAnsi="宋体" w:eastAsia="宋体" w:cs="Times New Roman"/>
              </w:rPr>
              <w:t>2023</w:t>
            </w:r>
            <w:r>
              <w:rPr>
                <w:rFonts w:hint="eastAsia" w:ascii="宋体" w:hAnsi="宋体" w:eastAsia="宋体" w:cs="Times New Roman"/>
              </w:rPr>
              <w:t>学年-</w:t>
            </w:r>
          </w:p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第一学期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</w:tcPr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  <w:t>02336401</w:t>
            </w:r>
          </w:p>
        </w:tc>
        <w:tc>
          <w:tcPr>
            <w:tcW w:w="3280" w:type="dxa"/>
          </w:tcPr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  <w:t>逻辑与论证</w:t>
            </w:r>
          </w:p>
        </w:tc>
        <w:tc>
          <w:tcPr>
            <w:tcW w:w="979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  <w:t>3</w:t>
            </w:r>
          </w:p>
        </w:tc>
        <w:tc>
          <w:tcPr>
            <w:tcW w:w="741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  <w:t>3</w:t>
            </w:r>
          </w:p>
        </w:tc>
        <w:tc>
          <w:tcPr>
            <w:tcW w:w="1583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color w:val="auto"/>
                <w:w w:val="100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ascii="宋体" w:hAnsi="宋体" w:eastAsia="宋体" w:cs="Times New Roman"/>
              </w:rPr>
              <w:t>20</w:t>
            </w:r>
            <w:r>
              <w:rPr>
                <w:rFonts w:hint="eastAsia" w:ascii="宋体" w:hAnsi="宋体" w:eastAsia="宋体" w:cs="Times New Roman"/>
              </w:rPr>
              <w:t>2</w:t>
            </w:r>
            <w:r>
              <w:rPr>
                <w:rFonts w:ascii="宋体" w:hAnsi="宋体" w:eastAsia="宋体" w:cs="Times New Roman"/>
              </w:rPr>
              <w:t>2</w:t>
            </w:r>
            <w:r>
              <w:rPr>
                <w:rFonts w:hint="eastAsia" w:ascii="宋体" w:hAnsi="宋体" w:eastAsia="宋体" w:cs="Times New Roman"/>
              </w:rPr>
              <w:t>-</w:t>
            </w:r>
            <w:r>
              <w:rPr>
                <w:rFonts w:ascii="宋体" w:hAnsi="宋体" w:eastAsia="宋体" w:cs="Times New Roman"/>
              </w:rPr>
              <w:t>2023</w:t>
            </w:r>
            <w:r>
              <w:rPr>
                <w:rFonts w:hint="eastAsia" w:ascii="宋体" w:hAnsi="宋体" w:eastAsia="宋体" w:cs="Times New Roman"/>
              </w:rPr>
              <w:t>学年-</w:t>
            </w:r>
          </w:p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第一学期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</w:tcPr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color w:val="auto"/>
                <w:w w:val="1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color w:val="auto"/>
                <w:w w:val="100"/>
                <w:kern w:val="2"/>
                <w:sz w:val="21"/>
                <w:szCs w:val="21"/>
                <w:u w:val="none"/>
                <w:vertAlign w:val="baseline"/>
                <w:rtl w:val="0"/>
              </w:rPr>
              <w:t>02330030</w:t>
            </w:r>
          </w:p>
        </w:tc>
        <w:tc>
          <w:tcPr>
            <w:tcW w:w="3280" w:type="dxa"/>
          </w:tcPr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color w:val="auto"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  <w:t>逻辑导论</w:t>
            </w:r>
          </w:p>
        </w:tc>
        <w:tc>
          <w:tcPr>
            <w:tcW w:w="979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color w:val="auto"/>
                <w:w w:val="1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</w:rPr>
              <w:t>3</w:t>
            </w:r>
          </w:p>
        </w:tc>
        <w:tc>
          <w:tcPr>
            <w:tcW w:w="741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color w:val="auto"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  <w:t>3</w:t>
            </w:r>
          </w:p>
        </w:tc>
        <w:tc>
          <w:tcPr>
            <w:tcW w:w="1583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color w:val="auto"/>
                <w:w w:val="1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</w:rPr>
              <w:t>2</w:t>
            </w:r>
            <w:r>
              <w:rPr>
                <w:rFonts w:ascii="宋体" w:hAnsi="宋体" w:eastAsia="宋体" w:cs="Times New Roman"/>
              </w:rPr>
              <w:t>0</w:t>
            </w:r>
            <w:r>
              <w:rPr>
                <w:rFonts w:hint="eastAsia" w:ascii="宋体" w:hAnsi="宋体" w:eastAsia="宋体" w:cs="Times New Roman"/>
              </w:rPr>
              <w:t>2</w:t>
            </w:r>
            <w:r>
              <w:rPr>
                <w:rFonts w:ascii="宋体" w:hAnsi="宋体" w:eastAsia="宋体" w:cs="Times New Roman"/>
              </w:rPr>
              <w:t>2</w:t>
            </w:r>
            <w:r>
              <w:rPr>
                <w:rFonts w:hint="eastAsia" w:ascii="宋体" w:hAnsi="宋体" w:eastAsia="宋体" w:cs="Times New Roman"/>
              </w:rPr>
              <w:t>-</w:t>
            </w:r>
            <w:r>
              <w:rPr>
                <w:rFonts w:ascii="宋体" w:hAnsi="宋体" w:eastAsia="宋体" w:cs="Times New Roman"/>
              </w:rPr>
              <w:t>2023</w:t>
            </w:r>
            <w:r>
              <w:rPr>
                <w:rFonts w:hint="eastAsia" w:ascii="宋体" w:hAnsi="宋体" w:eastAsia="宋体" w:cs="Times New Roman"/>
              </w:rPr>
              <w:t>学年-</w:t>
            </w:r>
          </w:p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第二学期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</w:tcPr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02330092&amp;</w:t>
            </w:r>
            <w:r>
              <w:rPr>
                <w:rFonts w:ascii="宋体" w:hAnsi="宋体" w:eastAsia="宋体" w:cs="Times New Roman"/>
              </w:rPr>
              <w:t xml:space="preserve"> 02330093</w:t>
            </w:r>
          </w:p>
        </w:tc>
        <w:tc>
          <w:tcPr>
            <w:tcW w:w="3280" w:type="dxa"/>
          </w:tcPr>
          <w:p>
            <w:pPr>
              <w:tabs>
                <w:tab w:val="left" w:pos="426"/>
              </w:tabs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中国哲学（上）&amp;</w:t>
            </w:r>
          </w:p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中国哲学（上）讨论班</w:t>
            </w:r>
          </w:p>
        </w:tc>
        <w:tc>
          <w:tcPr>
            <w:tcW w:w="979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</w:p>
        </w:tc>
        <w:tc>
          <w:tcPr>
            <w:tcW w:w="741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</w:p>
        </w:tc>
        <w:tc>
          <w:tcPr>
            <w:tcW w:w="1583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不限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</w:tcPr>
          <w:p>
            <w:pPr>
              <w:tabs>
                <w:tab w:val="left" w:pos="426"/>
              </w:tabs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02330051&amp;</w:t>
            </w:r>
          </w:p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02330055</w:t>
            </w:r>
          </w:p>
        </w:tc>
        <w:tc>
          <w:tcPr>
            <w:tcW w:w="3280" w:type="dxa"/>
          </w:tcPr>
          <w:p>
            <w:pPr>
              <w:tabs>
                <w:tab w:val="left" w:pos="426"/>
              </w:tabs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西方哲学（上）&amp;</w:t>
            </w:r>
          </w:p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西方哲学（上）讨论班</w:t>
            </w:r>
          </w:p>
        </w:tc>
        <w:tc>
          <w:tcPr>
            <w:tcW w:w="979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</w:p>
        </w:tc>
        <w:tc>
          <w:tcPr>
            <w:tcW w:w="741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</w:p>
        </w:tc>
        <w:tc>
          <w:tcPr>
            <w:tcW w:w="1583" w:type="dxa"/>
          </w:tcPr>
          <w:p>
            <w:pPr>
              <w:jc w:val="center"/>
              <w:rPr>
                <w:rFonts w:ascii="Calibri" w:eastAsia="宋体" w:cs="Times New Roman"/>
              </w:rPr>
            </w:pPr>
            <w:r>
              <w:rPr>
                <w:rFonts w:ascii="Calibri" w:eastAsia="宋体" w:cs="Times New Roman"/>
              </w:rPr>
              <w:t>不限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</w:tcPr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02330132</w:t>
            </w:r>
          </w:p>
        </w:tc>
        <w:tc>
          <w:tcPr>
            <w:tcW w:w="3280" w:type="dxa"/>
          </w:tcPr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科学哲学导论</w:t>
            </w:r>
          </w:p>
        </w:tc>
        <w:tc>
          <w:tcPr>
            <w:tcW w:w="979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</w:t>
            </w:r>
          </w:p>
        </w:tc>
        <w:tc>
          <w:tcPr>
            <w:tcW w:w="741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</w:t>
            </w:r>
          </w:p>
        </w:tc>
        <w:tc>
          <w:tcPr>
            <w:tcW w:w="1583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不限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</w:tcPr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color w:val="auto"/>
                <w:w w:val="100"/>
                <w:kern w:val="2"/>
                <w:sz w:val="21"/>
                <w:szCs w:val="21"/>
                <w:u w:val="none"/>
                <w:vertAlign w:val="baseline"/>
                <w:rtl w:val="0"/>
                <w:lang w:val="en-US" w:eastAsia="zh-CN" w:bidi="en-US"/>
              </w:rPr>
              <w:t>02331070</w:t>
            </w:r>
          </w:p>
        </w:tc>
        <w:tc>
          <w:tcPr>
            <w:tcW w:w="3280" w:type="dxa"/>
          </w:tcPr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  <w:t>数理逻辑</w:t>
            </w:r>
          </w:p>
        </w:tc>
        <w:tc>
          <w:tcPr>
            <w:tcW w:w="979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  <w:t>4</w:t>
            </w:r>
          </w:p>
        </w:tc>
        <w:tc>
          <w:tcPr>
            <w:tcW w:w="741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  <w:t>4</w:t>
            </w:r>
          </w:p>
        </w:tc>
        <w:tc>
          <w:tcPr>
            <w:tcW w:w="1583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color w:val="auto"/>
                <w:w w:val="100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</w:rPr>
              <w:t>2</w:t>
            </w:r>
            <w:r>
              <w:rPr>
                <w:rFonts w:ascii="宋体" w:hAnsi="宋体" w:eastAsia="宋体" w:cs="Times New Roman"/>
              </w:rPr>
              <w:t>0</w:t>
            </w:r>
            <w:r>
              <w:rPr>
                <w:rFonts w:hint="eastAsia" w:ascii="宋体" w:hAnsi="宋体" w:eastAsia="宋体" w:cs="Times New Roman"/>
              </w:rPr>
              <w:t>2</w:t>
            </w:r>
            <w:r>
              <w:rPr>
                <w:rFonts w:ascii="宋体" w:hAnsi="宋体" w:eastAsia="宋体" w:cs="Times New Roman"/>
              </w:rPr>
              <w:t>2</w:t>
            </w:r>
            <w:r>
              <w:rPr>
                <w:rFonts w:hint="eastAsia" w:ascii="宋体" w:hAnsi="宋体" w:eastAsia="宋体" w:cs="Times New Roman"/>
              </w:rPr>
              <w:t>-</w:t>
            </w:r>
            <w:r>
              <w:rPr>
                <w:rFonts w:ascii="宋体" w:hAnsi="宋体" w:eastAsia="宋体" w:cs="Times New Roman"/>
              </w:rPr>
              <w:t>2023</w:t>
            </w:r>
            <w:r>
              <w:rPr>
                <w:rFonts w:hint="eastAsia" w:ascii="宋体" w:hAnsi="宋体" w:eastAsia="宋体" w:cs="Times New Roman"/>
              </w:rPr>
              <w:t>学年-</w:t>
            </w:r>
          </w:p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第二学期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49" w:type="dxa"/>
          </w:tcPr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color w:val="auto"/>
                <w:w w:val="100"/>
                <w:kern w:val="2"/>
                <w:sz w:val="21"/>
                <w:szCs w:val="21"/>
                <w:u w:val="none"/>
                <w:vertAlign w:val="baseline"/>
                <w:rtl w:val="0"/>
                <w:lang w:val="en-US" w:eastAsia="zh-CN" w:bidi="en-US"/>
              </w:rPr>
              <w:t>02331051</w:t>
            </w:r>
          </w:p>
        </w:tc>
        <w:tc>
          <w:tcPr>
            <w:tcW w:w="3280" w:type="dxa"/>
          </w:tcPr>
          <w:p>
            <w:pPr>
              <w:tabs>
                <w:tab w:val="left" w:pos="426"/>
              </w:tabs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  <w:t>模态逻辑</w:t>
            </w:r>
          </w:p>
        </w:tc>
        <w:tc>
          <w:tcPr>
            <w:tcW w:w="979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  <w:t>3</w:t>
            </w:r>
          </w:p>
        </w:tc>
        <w:tc>
          <w:tcPr>
            <w:tcW w:w="741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snapToGrid/>
                <w:w w:val="100"/>
                <w:kern w:val="2"/>
                <w:sz w:val="21"/>
                <w:szCs w:val="21"/>
                <w:u w:val="none"/>
                <w:vertAlign w:val="baseline"/>
                <w:lang w:val="en-US" w:eastAsia="zh-CN" w:bidi="en-US"/>
              </w:rPr>
              <w:t>3</w:t>
            </w:r>
          </w:p>
        </w:tc>
        <w:tc>
          <w:tcPr>
            <w:tcW w:w="1583" w:type="dxa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  <w:b w:val="0"/>
                <w:i w:val="0"/>
                <w:strike w:val="0"/>
                <w:dstrike w:val="0"/>
                <w:color w:val="auto"/>
                <w:w w:val="1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</w:rPr>
              <w:t>2</w:t>
            </w:r>
            <w:r>
              <w:rPr>
                <w:rFonts w:ascii="宋体" w:hAnsi="宋体" w:eastAsia="宋体" w:cs="Times New Roman"/>
              </w:rPr>
              <w:t>023</w:t>
            </w:r>
            <w:r>
              <w:rPr>
                <w:rFonts w:hint="eastAsia" w:ascii="宋体" w:hAnsi="宋体" w:eastAsia="宋体" w:cs="Times New Roman"/>
              </w:rPr>
              <w:t>-</w:t>
            </w:r>
            <w:r>
              <w:rPr>
                <w:rFonts w:ascii="宋体" w:hAnsi="宋体" w:eastAsia="宋体" w:cs="Times New Roman"/>
              </w:rPr>
              <w:t>2024</w:t>
            </w:r>
            <w:r>
              <w:rPr>
                <w:rFonts w:hint="eastAsia" w:ascii="宋体" w:hAnsi="宋体" w:eastAsia="宋体" w:cs="Times New Roman"/>
              </w:rPr>
              <w:t>学年-</w:t>
            </w:r>
          </w:p>
          <w:p>
            <w:pPr>
              <w:tabs>
                <w:tab w:val="left" w:pos="426"/>
              </w:tabs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第一学期</w:t>
            </w:r>
          </w:p>
        </w:tc>
      </w:tr>
    </w:tbl>
    <w:p>
      <w:pPr>
        <w:spacing w:beforeAutospacing="0" w:afterAutospacing="0" w:line="360" w:lineRule="auto"/>
        <w:rPr>
          <w:rFonts w:ascii="宋体" w:hAnsi="宋体"/>
        </w:rPr>
      </w:pPr>
    </w:p>
    <w:p>
      <w:pPr>
        <w:spacing w:beforeAutospacing="0" w:afterAutospacing="0" w:line="360" w:lineRule="auto"/>
        <w:ind w:left="360" w:firstLine="435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双学位学位论文：5学分</w:t>
      </w:r>
    </w:p>
    <w:p>
      <w:pPr>
        <w:pStyle w:val="27"/>
        <w:numPr>
          <w:ilvl w:val="0"/>
          <w:numId w:val="4"/>
        </w:numPr>
        <w:spacing w:beforeAutospacing="0" w:afterAutospacing="0" w:line="360" w:lineRule="auto"/>
        <w:ind w:firstLineChars="0"/>
        <w:rPr>
          <w:rFonts w:ascii="宋体" w:hAnsi="宋体"/>
          <w:b w:val="0"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i w:val="0"/>
          <w:strike w:val="0"/>
          <w:dstrike w:val="0"/>
          <w:snapToGrid/>
          <w:color w:val="auto"/>
          <w:w w:val="100"/>
          <w:kern w:val="2"/>
          <w:sz w:val="24"/>
          <w:szCs w:val="24"/>
          <w:u w:val="none"/>
          <w:vertAlign w:val="baseline"/>
          <w:rtl w:val="0"/>
          <w:lang w:val="en-US" w:eastAsia="zh-CN" w:bidi="en-US"/>
        </w:rPr>
        <w:t>大三</w:t>
      </w:r>
      <w:bookmarkStart w:id="1" w:name="_GoBack"/>
      <w:bookmarkEnd w:id="1"/>
      <w:r>
        <w:rPr>
          <w:rFonts w:hint="eastAsia" w:ascii="宋体" w:hAnsi="宋体" w:eastAsia="宋体" w:cs="Times New Roman"/>
          <w:b w:val="0"/>
          <w:i w:val="0"/>
          <w:strike w:val="0"/>
          <w:dstrike w:val="0"/>
          <w:snapToGrid/>
          <w:color w:val="auto"/>
          <w:w w:val="100"/>
          <w:kern w:val="2"/>
          <w:sz w:val="24"/>
          <w:szCs w:val="24"/>
          <w:u w:val="none"/>
          <w:vertAlign w:val="baseline"/>
          <w:rtl w:val="0"/>
          <w:lang w:val="en-US" w:eastAsia="zh-CN" w:bidi="en-US"/>
        </w:rPr>
        <w:t>下选导师</w:t>
      </w:r>
      <w:r>
        <w:rPr>
          <w:rFonts w:hint="default" w:ascii="宋体" w:hAnsi="宋体" w:eastAsia="宋体" w:cs="Times New Roman"/>
          <w:b w:val="0"/>
          <w:i w:val="0"/>
          <w:strike w:val="0"/>
          <w:dstrike w:val="0"/>
          <w:snapToGrid/>
          <w:color w:val="auto"/>
          <w:w w:val="100"/>
          <w:kern w:val="2"/>
          <w:sz w:val="24"/>
          <w:szCs w:val="24"/>
          <w:u w:val="none"/>
          <w:vertAlign w:val="baseline"/>
          <w:rtl w:val="0"/>
        </w:rPr>
        <w:t>;</w:t>
      </w:r>
    </w:p>
    <w:p>
      <w:pPr>
        <w:pStyle w:val="27"/>
        <w:numPr>
          <w:ilvl w:val="0"/>
          <w:numId w:val="4"/>
        </w:numPr>
        <w:spacing w:beforeAutospacing="0" w:afterAutospacing="0" w:line="360" w:lineRule="auto"/>
        <w:ind w:firstLineChars="0"/>
        <w:rPr>
          <w:rFonts w:ascii="宋体" w:hAnsi="宋体"/>
          <w:b w:val="0"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i w:val="0"/>
          <w:strike w:val="0"/>
          <w:dstrike w:val="0"/>
          <w:snapToGrid/>
          <w:color w:val="auto"/>
          <w:w w:val="100"/>
          <w:kern w:val="2"/>
          <w:sz w:val="24"/>
          <w:szCs w:val="24"/>
          <w:u w:val="none"/>
          <w:vertAlign w:val="baseline"/>
          <w:rtl w:val="0"/>
          <w:lang w:val="en-US" w:eastAsia="zh-CN" w:bidi="en-US"/>
        </w:rPr>
        <w:t>大四上12月底前提交纸版导师签字的毕业论文大纲</w:t>
      </w:r>
      <w:r>
        <w:rPr>
          <w:rFonts w:hint="default" w:ascii="宋体" w:hAnsi="宋体" w:eastAsia="宋体" w:cs="Times New Roman"/>
          <w:b w:val="0"/>
          <w:i w:val="0"/>
          <w:strike w:val="0"/>
          <w:dstrike w:val="0"/>
          <w:snapToGrid/>
          <w:color w:val="auto"/>
          <w:w w:val="100"/>
          <w:kern w:val="2"/>
          <w:sz w:val="24"/>
          <w:szCs w:val="24"/>
          <w:u w:val="none"/>
          <w:vertAlign w:val="baseline"/>
          <w:rtl w:val="0"/>
        </w:rPr>
        <w:t>;</w:t>
      </w:r>
    </w:p>
    <w:p>
      <w:pPr>
        <w:pStyle w:val="27"/>
        <w:numPr>
          <w:ilvl w:val="0"/>
          <w:numId w:val="4"/>
        </w:numPr>
        <w:spacing w:beforeAutospacing="0" w:afterAutospacing="0" w:line="360" w:lineRule="auto"/>
        <w:ind w:firstLineChars="0"/>
        <w:rPr>
          <w:rFonts w:ascii="宋体" w:hAnsi="宋体"/>
          <w:b w:val="0"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i w:val="0"/>
          <w:strike w:val="0"/>
          <w:dstrike w:val="0"/>
          <w:snapToGrid/>
          <w:color w:val="auto"/>
          <w:w w:val="100"/>
          <w:kern w:val="2"/>
          <w:sz w:val="24"/>
          <w:szCs w:val="24"/>
          <w:u w:val="none"/>
          <w:vertAlign w:val="baseline"/>
          <w:rtl w:val="0"/>
          <w:lang w:val="en-US" w:eastAsia="zh-CN" w:bidi="en-US"/>
        </w:rPr>
        <w:t>大四下需选修课程：学位论文 （02330582）</w:t>
      </w:r>
    </w:p>
    <w:p>
      <w:pPr>
        <w:numPr>
          <w:ilvl w:val="0"/>
          <w:numId w:val="3"/>
        </w:numPr>
        <w:spacing w:beforeAutospacing="0" w:afterAutospacing="0" w:line="360" w:lineRule="auto"/>
        <w:rPr>
          <w:rFonts w:hint="default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专业选修课程（双学位</w:t>
      </w:r>
      <w:r>
        <w:rPr>
          <w:rFonts w:hint="default" w:ascii="宋体" w:hAnsi="宋体"/>
          <w:b/>
          <w:sz w:val="24"/>
          <w:szCs w:val="24"/>
        </w:rPr>
        <w:t>：</w:t>
      </w:r>
      <w:r>
        <w:rPr>
          <w:rFonts w:hint="eastAsia" w:ascii="宋体" w:hAnsi="宋体"/>
          <w:b/>
          <w:sz w:val="24"/>
          <w:szCs w:val="24"/>
        </w:rPr>
        <w:t>1</w:t>
      </w:r>
      <w:r>
        <w:rPr>
          <w:rFonts w:hint="default" w:ascii="宋体" w:hAnsi="宋体"/>
          <w:b/>
          <w:sz w:val="24"/>
          <w:szCs w:val="24"/>
        </w:rPr>
        <w:t>2</w:t>
      </w:r>
      <w:r>
        <w:rPr>
          <w:rFonts w:hint="eastAsia" w:ascii="宋体" w:hAnsi="宋体"/>
          <w:b/>
          <w:sz w:val="24"/>
          <w:szCs w:val="24"/>
        </w:rPr>
        <w:t>学分</w:t>
      </w:r>
      <w:r>
        <w:rPr>
          <w:rFonts w:hint="default" w:ascii="宋体" w:hAnsi="宋体"/>
          <w:b/>
          <w:sz w:val="24"/>
          <w:szCs w:val="24"/>
        </w:rPr>
        <w:t>， 辅修6学分</w:t>
      </w:r>
      <w:r>
        <w:rPr>
          <w:rFonts w:hint="eastAsia" w:ascii="宋体" w:hAnsi="宋体"/>
          <w:b/>
          <w:sz w:val="24"/>
          <w:szCs w:val="24"/>
        </w:rPr>
        <w:t>）</w:t>
      </w:r>
    </w:p>
    <w:p>
      <w:pPr>
        <w:spacing w:beforeAutospacing="0" w:afterAutospacing="0" w:line="360" w:lineRule="auto"/>
        <w:ind w:left="780"/>
        <w:rPr>
          <w:rFonts w:ascii="宋体" w:hAnsi="宋体"/>
          <w:sz w:val="24"/>
          <w:szCs w:val="24"/>
        </w:rPr>
      </w:pPr>
      <w:bookmarkStart w:id="0" w:name="_Hlk37862638"/>
      <w:r>
        <w:rPr>
          <w:rFonts w:hint="eastAsia" w:ascii="宋体" w:hAnsi="宋体" w:eastAsia="宋体" w:cs="Times New Roman"/>
          <w:b w:val="0"/>
          <w:i w:val="0"/>
          <w:strike w:val="0"/>
          <w:dstrike w:val="0"/>
          <w:snapToGrid/>
          <w:color w:val="auto"/>
          <w:w w:val="100"/>
          <w:kern w:val="2"/>
          <w:sz w:val="24"/>
          <w:szCs w:val="24"/>
          <w:u w:val="none"/>
          <w:vertAlign w:val="baseline"/>
          <w:rtl w:val="0"/>
          <w:lang w:val="en-US" w:eastAsia="zh-CN" w:bidi="en-US"/>
        </w:rPr>
        <w:t>选修要求：</w:t>
      </w:r>
    </w:p>
    <w:p>
      <w:pPr>
        <w:pStyle w:val="27"/>
        <w:numPr>
          <w:ilvl w:val="0"/>
          <w:numId w:val="4"/>
        </w:numPr>
        <w:spacing w:beforeAutospacing="0" w:afterAutospacing="0" w:line="360" w:lineRule="auto"/>
        <w:ind w:firstLineChars="0"/>
        <w:rPr>
          <w:rFonts w:hint="eastAsia" w:ascii="宋体" w:hAnsi="宋体" w:eastAsia="宋体" w:cs="Times New Roman"/>
          <w:b w:val="0"/>
          <w:i w:val="0"/>
          <w:strike w:val="0"/>
          <w:dstrike w:val="0"/>
          <w:snapToGrid/>
          <w:color w:val="auto"/>
          <w:w w:val="100"/>
          <w:kern w:val="2"/>
          <w:sz w:val="24"/>
          <w:szCs w:val="24"/>
          <w:u w:val="none"/>
          <w:vertAlign w:val="baseline"/>
          <w:lang w:val="en-US" w:eastAsia="zh-CN" w:bidi="en-US"/>
        </w:rPr>
      </w:pPr>
      <w:r>
        <w:rPr>
          <w:rFonts w:hint="eastAsia" w:ascii="宋体" w:hAnsi="宋体" w:eastAsia="宋体" w:cs="Times New Roman"/>
          <w:b w:val="0"/>
          <w:i w:val="0"/>
          <w:strike w:val="0"/>
          <w:dstrike w:val="0"/>
          <w:snapToGrid/>
          <w:color w:val="auto"/>
          <w:w w:val="100"/>
          <w:kern w:val="2"/>
          <w:sz w:val="24"/>
          <w:szCs w:val="24"/>
          <w:u w:val="none"/>
          <w:vertAlign w:val="baseline"/>
          <w:rtl w:val="0"/>
          <w:lang w:val="en-US" w:eastAsia="zh-CN" w:bidi="en-US"/>
        </w:rPr>
        <w:t>双学位：在2个模块中修满相应学分要求的课程；</w:t>
      </w:r>
    </w:p>
    <w:p>
      <w:pPr>
        <w:pStyle w:val="27"/>
        <w:numPr>
          <w:ilvl w:val="0"/>
          <w:numId w:val="4"/>
        </w:numPr>
        <w:spacing w:beforeAutospacing="0" w:afterAutospacing="0" w:line="360" w:lineRule="auto"/>
        <w:ind w:firstLineChars="0"/>
        <w:rPr>
          <w:rFonts w:hint="eastAsia" w:ascii="宋体" w:hAnsi="宋体" w:eastAsia="宋体" w:cs="Times New Roman"/>
          <w:b w:val="0"/>
          <w:i w:val="0"/>
          <w:strike w:val="0"/>
          <w:dstrike w:val="0"/>
          <w:color w:val="auto"/>
          <w:w w:val="100"/>
          <w:sz w:val="24"/>
          <w:szCs w:val="24"/>
          <w:u w:val="none"/>
          <w:vertAlign w:val="baseline"/>
          <w:lang w:val="en-US" w:eastAsia="zh-CN" w:bidi="en-US"/>
        </w:rPr>
      </w:pPr>
      <w:r>
        <w:rPr>
          <w:rFonts w:hint="eastAsia" w:ascii="宋体" w:hAnsi="宋体" w:eastAsia="宋体" w:cs="Times New Roman"/>
          <w:b w:val="0"/>
          <w:i w:val="0"/>
          <w:strike w:val="0"/>
          <w:dstrike w:val="0"/>
          <w:snapToGrid/>
          <w:color w:val="auto"/>
          <w:w w:val="100"/>
          <w:kern w:val="2"/>
          <w:sz w:val="24"/>
          <w:szCs w:val="24"/>
          <w:u w:val="none"/>
          <w:vertAlign w:val="baseline"/>
          <w:rtl w:val="0"/>
          <w:lang w:val="en-US" w:eastAsia="zh-CN" w:bidi="en-US"/>
        </w:rPr>
        <w:t>辅修：在逻辑学模块修满6学分课程。</w:t>
      </w:r>
      <w:bookmarkEnd w:id="0"/>
    </w:p>
    <w:p>
      <w:pPr>
        <w:pStyle w:val="12"/>
        <w:ind w:firstLine="0"/>
      </w:pPr>
    </w:p>
    <w:tbl>
      <w:tblPr>
        <w:tblStyle w:val="19"/>
        <w:tblW w:w="0" w:type="auto"/>
        <w:tblInd w:w="4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846" w:type="dxa"/>
          </w:tcPr>
          <w:p>
            <w:pPr>
              <w:tabs>
                <w:tab w:val="left" w:pos="426"/>
              </w:tabs>
              <w:ind w:left="0" w:leftChars="0"/>
              <w:jc w:val="center"/>
              <w:rPr>
                <w:rFonts w:ascii="宋体" w:hAnsi="宋体" w:eastAsia="宋体" w:cs="Times New Roman"/>
                <w:b/>
                <w:color w:val="494949"/>
              </w:rPr>
            </w:pPr>
            <w:r>
              <w:rPr>
                <w:rFonts w:hint="eastAsia" w:ascii="宋体" w:hAnsi="宋体" w:eastAsia="宋体" w:cs="Times New Roman"/>
                <w:b/>
                <w:color w:val="494949"/>
              </w:rPr>
              <w:t>类别</w:t>
            </w:r>
          </w:p>
        </w:tc>
        <w:tc>
          <w:tcPr>
            <w:tcW w:w="0" w:type="auto"/>
          </w:tcPr>
          <w:p>
            <w:pPr>
              <w:tabs>
                <w:tab w:val="left" w:pos="426"/>
              </w:tabs>
              <w:jc w:val="center"/>
              <w:rPr>
                <w:rFonts w:ascii="宋体" w:hAnsi="宋体" w:eastAsia="宋体" w:cs="Times New Roman"/>
                <w:b/>
                <w:color w:val="494949"/>
              </w:rPr>
            </w:pPr>
            <w:r>
              <w:rPr>
                <w:rFonts w:hint="eastAsia" w:ascii="宋体" w:hAnsi="宋体" w:eastAsia="宋体" w:cs="Times New Roman"/>
                <w:b/>
                <w:color w:val="494949"/>
              </w:rPr>
              <w:t>双学位学分要求</w:t>
            </w:r>
          </w:p>
        </w:tc>
      </w:tr>
      <w:tr>
        <w:tc>
          <w:tcPr>
            <w:tcW w:w="1846" w:type="dxa"/>
          </w:tcPr>
          <w:p>
            <w:pPr>
              <w:tabs>
                <w:tab w:val="left" w:pos="426"/>
              </w:tabs>
              <w:jc w:val="center"/>
              <w:rPr>
                <w:rFonts w:ascii="宋体" w:hAnsi="宋体" w:eastAsia="宋体" w:cs="Times New Roman"/>
                <w:strike w:val="0"/>
                <w:dstrike w:val="0"/>
                <w:color w:val="494949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  <w:color w:val="494949"/>
              </w:rPr>
              <w:t>哲学模块</w:t>
            </w:r>
          </w:p>
        </w:tc>
        <w:tc>
          <w:tcPr>
            <w:tcW w:w="0" w:type="auto"/>
          </w:tcPr>
          <w:p>
            <w:pPr>
              <w:tabs>
                <w:tab w:val="left" w:pos="426"/>
              </w:tabs>
              <w:jc w:val="center"/>
              <w:rPr>
                <w:rFonts w:ascii="Calibri" w:eastAsia="宋体" w:cs="Times New Roman"/>
                <w:strike w:val="0"/>
                <w:dstrike w:val="0"/>
                <w:color w:val="494949"/>
              </w:rPr>
            </w:pPr>
            <w:r>
              <w:rPr>
                <w:rFonts w:hint="default" w:ascii="Calibri" w:eastAsia="宋体" w:cs="Times New Roman"/>
                <w:strike w:val="0"/>
                <w:dstrike w:val="0"/>
                <w:color w:val="494949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846" w:type="dxa"/>
          </w:tcPr>
          <w:p>
            <w:pPr>
              <w:tabs>
                <w:tab w:val="left" w:pos="426"/>
              </w:tabs>
              <w:jc w:val="center"/>
              <w:rPr>
                <w:rFonts w:ascii="Calibri" w:eastAsia="宋体" w:cs="Times New Roman"/>
                <w:color w:val="494949"/>
              </w:rPr>
            </w:pPr>
            <w:r>
              <w:rPr>
                <w:rFonts w:hint="eastAsia" w:ascii="Calibri" w:eastAsia="宋体" w:cs="Times New Roman"/>
                <w:color w:val="494949"/>
              </w:rPr>
              <w:t>逻辑学模块</w:t>
            </w:r>
          </w:p>
        </w:tc>
        <w:tc>
          <w:tcPr>
            <w:tcW w:w="0" w:type="auto"/>
          </w:tcPr>
          <w:p>
            <w:pPr>
              <w:tabs>
                <w:tab w:val="left" w:pos="426"/>
              </w:tabs>
              <w:jc w:val="center"/>
              <w:rPr>
                <w:rFonts w:ascii="Calibri" w:eastAsia="宋体" w:cs="Times New Roman"/>
                <w:color w:val="494949"/>
                <w:highlight w:val="yellow"/>
              </w:rPr>
            </w:pPr>
            <w:r>
              <w:rPr>
                <w:rFonts w:hint="default" w:ascii="Calibri" w:eastAsia="宋体" w:cs="Times New Roman"/>
                <w:color w:val="494949"/>
              </w:rPr>
              <w:t>8</w:t>
            </w:r>
          </w:p>
        </w:tc>
      </w:tr>
    </w:tbl>
    <w:p>
      <w:pPr>
        <w:pStyle w:val="12"/>
      </w:pPr>
    </w:p>
    <w:p>
      <w:pPr>
        <w:pStyle w:val="12"/>
        <w:ind w:firstLine="0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哲学模块：</w:t>
      </w:r>
      <w:r>
        <w:rPr>
          <w:rFonts w:hint="default"/>
          <w:b/>
          <w:bCs/>
          <w:sz w:val="22"/>
          <w:szCs w:val="22"/>
        </w:rPr>
        <w:t>4</w:t>
      </w:r>
      <w:r>
        <w:rPr>
          <w:rFonts w:hint="eastAsia"/>
          <w:b/>
          <w:bCs/>
          <w:sz w:val="22"/>
          <w:szCs w:val="22"/>
        </w:rPr>
        <w:t>学分</w:t>
      </w:r>
    </w:p>
    <w:tbl>
      <w:tblPr>
        <w:tblStyle w:val="19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4300"/>
        <w:gridCol w:w="1572"/>
        <w:gridCol w:w="1572"/>
      </w:tblGrid>
      <w:tr>
        <w:trPr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Calibri" w:eastAsia="宋体" w:cs="Times New Roman"/>
                <w:b/>
              </w:rPr>
            </w:pPr>
            <w:r>
              <w:rPr>
                <w:rFonts w:hint="eastAsia" w:ascii="Calibri" w:eastAsia="宋体" w:cs="Times New Roman"/>
                <w:b/>
              </w:rPr>
              <w:t>课号</w:t>
            </w:r>
          </w:p>
        </w:tc>
        <w:tc>
          <w:tcPr>
            <w:tcW w:w="3529" w:type="dxa"/>
            <w:vAlign w:val="center"/>
          </w:tcPr>
          <w:p>
            <w:pPr>
              <w:jc w:val="center"/>
              <w:rPr>
                <w:rFonts w:ascii="Calibri" w:eastAsia="宋体" w:cs="Times New Roman"/>
                <w:b/>
              </w:rPr>
            </w:pPr>
            <w:r>
              <w:rPr>
                <w:rFonts w:hint="eastAsia" w:ascii="Calibri" w:eastAsia="宋体" w:cs="Times New Roman"/>
                <w:b/>
              </w:rPr>
              <w:t>课程名称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Calibri" w:eastAsia="宋体" w:cs="Times New Roman"/>
                <w:b/>
              </w:rPr>
            </w:pPr>
            <w:r>
              <w:rPr>
                <w:rFonts w:hint="eastAsia" w:ascii="Calibri" w:eastAsia="宋体" w:cs="Times New Roman"/>
                <w:b/>
              </w:rPr>
              <w:t>学分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Calibri" w:eastAsia="宋体" w:cs="Times New Roman"/>
                <w:b/>
              </w:rPr>
            </w:pPr>
            <w:r>
              <w:rPr>
                <w:rFonts w:hint="eastAsia" w:ascii="Calibri" w:eastAsia="宋体" w:cs="Times New Roman"/>
                <w:b/>
              </w:rPr>
              <w:t>周学时</w:t>
            </w:r>
          </w:p>
        </w:tc>
      </w:tr>
      <w:tr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02335100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知识论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</w:tr>
      <w:tr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02330340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形而上学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</w:tr>
      <w:tr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02330610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心灵哲学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楷体_GB2312" w:cs="Times New Roman"/>
              </w:rPr>
              <w:t>2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楷体_GB2312" w:cs="Times New Roma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02333391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语言哲学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  <w:shd w:val="clear" w:color="auto" w:fill="auto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02333141</w:t>
            </w:r>
          </w:p>
        </w:tc>
        <w:tc>
          <w:tcPr>
            <w:tcW w:w="3529" w:type="dxa"/>
            <w:shd w:val="clear" w:color="auto" w:fill="auto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当代分析哲学</w:t>
            </w:r>
          </w:p>
        </w:tc>
        <w:tc>
          <w:tcPr>
            <w:tcW w:w="1290" w:type="dxa"/>
            <w:shd w:val="clear" w:color="auto" w:fill="auto"/>
          </w:tcPr>
          <w:p>
            <w:pPr>
              <w:rPr>
                <w:rFonts w:ascii="Calibri" w:eastAsia="楷体_GB2312" w:cs="Times New Roman"/>
              </w:rPr>
            </w:pPr>
            <w:r>
              <w:rPr>
                <w:rFonts w:hint="eastAsia" w:ascii="Calibri" w:eastAsia="楷体_GB2312" w:cs="Times New Roman"/>
              </w:rPr>
              <w:t>3</w:t>
            </w:r>
          </w:p>
        </w:tc>
        <w:tc>
          <w:tcPr>
            <w:tcW w:w="1290" w:type="dxa"/>
            <w:shd w:val="clear" w:color="auto" w:fill="auto"/>
          </w:tcPr>
          <w:p>
            <w:pPr>
              <w:rPr>
                <w:rFonts w:ascii="Calibri" w:eastAsia="楷体_GB2312" w:cs="Times New Roman"/>
              </w:rPr>
            </w:pPr>
            <w:r>
              <w:rPr>
                <w:rFonts w:hint="eastAsia" w:ascii="Calibri" w:eastAsia="楷体_GB2312" w:cs="Times New Roma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  <w:shd w:val="clear" w:color="auto" w:fill="auto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ascii="Calibri" w:eastAsia="宋体" w:cs="Times New Roman"/>
              </w:rPr>
              <w:t>02333150</w:t>
            </w:r>
          </w:p>
        </w:tc>
        <w:tc>
          <w:tcPr>
            <w:tcW w:w="3529" w:type="dxa"/>
            <w:shd w:val="clear" w:color="auto" w:fill="auto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分析哲学专题</w:t>
            </w:r>
          </w:p>
        </w:tc>
        <w:tc>
          <w:tcPr>
            <w:tcW w:w="1290" w:type="dxa"/>
            <w:shd w:val="clear" w:color="auto" w:fill="auto"/>
          </w:tcPr>
          <w:p>
            <w:pPr>
              <w:rPr>
                <w:rFonts w:ascii="Calibri" w:eastAsia="楷体_GB2312" w:cs="Times New Roman"/>
              </w:rPr>
            </w:pPr>
            <w:r>
              <w:rPr>
                <w:rFonts w:hint="eastAsia" w:ascii="Calibri" w:eastAsia="楷体_GB2312" w:cs="Times New Roman"/>
              </w:rPr>
              <w:t>2</w:t>
            </w:r>
          </w:p>
        </w:tc>
        <w:tc>
          <w:tcPr>
            <w:tcW w:w="1290" w:type="dxa"/>
            <w:shd w:val="clear" w:color="auto" w:fill="auto"/>
          </w:tcPr>
          <w:p>
            <w:pPr>
              <w:rPr>
                <w:rFonts w:ascii="Calibri" w:eastAsia="楷体_GB2312" w:cs="Times New Roman"/>
              </w:rPr>
            </w:pPr>
            <w:r>
              <w:rPr>
                <w:rFonts w:hint="eastAsia" w:ascii="Calibri" w:eastAsia="楷体_GB2312" w:cs="Times New Roma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  <w:shd w:val="clear" w:color="auto" w:fill="auto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02330096</w:t>
            </w:r>
          </w:p>
        </w:tc>
        <w:tc>
          <w:tcPr>
            <w:tcW w:w="3529" w:type="dxa"/>
            <w:shd w:val="clear" w:color="auto" w:fill="auto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中国哲学（下）</w:t>
            </w:r>
          </w:p>
        </w:tc>
        <w:tc>
          <w:tcPr>
            <w:tcW w:w="1290" w:type="dxa"/>
            <w:shd w:val="clear" w:color="auto" w:fill="auto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3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  <w:shd w:val="clear" w:color="auto" w:fill="auto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>02330053</w:t>
            </w:r>
          </w:p>
        </w:tc>
        <w:tc>
          <w:tcPr>
            <w:tcW w:w="3529" w:type="dxa"/>
            <w:shd w:val="clear" w:color="auto" w:fill="auto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 w:val="0"/>
                <w:color w:val="000000"/>
                <w:sz w:val="21"/>
                <w:szCs w:val="21"/>
              </w:rPr>
              <w:t>西方哲学（下）</w:t>
            </w:r>
          </w:p>
        </w:tc>
        <w:tc>
          <w:tcPr>
            <w:tcW w:w="1290" w:type="dxa"/>
            <w:shd w:val="clear" w:color="auto" w:fill="auto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  <w:shd w:val="clear" w:color="auto" w:fill="auto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02330142</w:t>
            </w:r>
          </w:p>
        </w:tc>
        <w:tc>
          <w:tcPr>
            <w:tcW w:w="3529" w:type="dxa"/>
            <w:shd w:val="clear" w:color="auto" w:fill="auto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伦理学导论</w:t>
            </w:r>
          </w:p>
        </w:tc>
        <w:tc>
          <w:tcPr>
            <w:tcW w:w="1290" w:type="dxa"/>
            <w:shd w:val="clear" w:color="auto" w:fill="auto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2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  <w:shd w:val="clear" w:color="auto" w:fill="auto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02330152</w:t>
            </w:r>
          </w:p>
        </w:tc>
        <w:tc>
          <w:tcPr>
            <w:tcW w:w="3529" w:type="dxa"/>
            <w:shd w:val="clear" w:color="auto" w:fill="auto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美学原理</w:t>
            </w:r>
          </w:p>
        </w:tc>
        <w:tc>
          <w:tcPr>
            <w:tcW w:w="1290" w:type="dxa"/>
            <w:shd w:val="clear" w:color="auto" w:fill="auto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2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  <w:shd w:val="clear" w:color="auto" w:fill="auto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02336180</w:t>
            </w:r>
          </w:p>
        </w:tc>
        <w:tc>
          <w:tcPr>
            <w:tcW w:w="3529" w:type="dxa"/>
            <w:shd w:val="clear" w:color="auto" w:fill="auto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中世纪哲学原著</w:t>
            </w:r>
          </w:p>
        </w:tc>
        <w:tc>
          <w:tcPr>
            <w:tcW w:w="1290" w:type="dxa"/>
            <w:shd w:val="clear" w:color="auto" w:fill="auto"/>
          </w:tcPr>
          <w:p>
            <w:pPr>
              <w:rPr>
                <w:rFonts w:ascii="Calibri" w:eastAsia="楷体_GB2312" w:cs="Times New Roman"/>
                <w:strike w:val="0"/>
                <w:dstrike w:val="0"/>
              </w:rPr>
            </w:pPr>
            <w:r>
              <w:rPr>
                <w:rFonts w:hint="eastAsia" w:ascii="Calibri" w:eastAsia="楷体_GB2312" w:cs="Times New Roman"/>
                <w:strike w:val="0"/>
                <w:dstrike w:val="0"/>
              </w:rPr>
              <w:t>2</w:t>
            </w:r>
          </w:p>
        </w:tc>
        <w:tc>
          <w:tcPr>
            <w:tcW w:w="1290" w:type="dxa"/>
            <w:shd w:val="clear" w:color="auto" w:fill="auto"/>
          </w:tcPr>
          <w:p>
            <w:pPr>
              <w:rPr>
                <w:rFonts w:ascii="Calibri" w:eastAsia="楷体_GB2312" w:cs="Times New Roman"/>
                <w:strike w:val="0"/>
                <w:dstrike w:val="0"/>
              </w:rPr>
            </w:pPr>
            <w:r>
              <w:rPr>
                <w:rFonts w:hint="eastAsia" w:ascii="Calibri" w:eastAsia="楷体_GB2312" w:cs="Times New Roman"/>
                <w:strike w:val="0"/>
                <w:dstrike w:val="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  <w:shd w:val="clear" w:color="auto" w:fill="auto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02330320</w:t>
            </w:r>
          </w:p>
        </w:tc>
        <w:tc>
          <w:tcPr>
            <w:tcW w:w="3529" w:type="dxa"/>
            <w:shd w:val="clear" w:color="auto" w:fill="auto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当代认识论</w:t>
            </w:r>
          </w:p>
        </w:tc>
        <w:tc>
          <w:tcPr>
            <w:tcW w:w="1290" w:type="dxa"/>
            <w:shd w:val="clear" w:color="auto" w:fill="auto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楷体_GB2312" w:cs="Times New Roman"/>
                <w:strike w:val="0"/>
                <w:dstrike w:val="0"/>
              </w:rPr>
              <w:t>3</w:t>
            </w:r>
          </w:p>
        </w:tc>
        <w:tc>
          <w:tcPr>
            <w:tcW w:w="1290" w:type="dxa"/>
            <w:shd w:val="clear" w:color="auto" w:fill="auto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楷体_GB2312" w:cs="Times New Roman"/>
                <w:strike w:val="0"/>
                <w:dstrike w:val="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02330620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科学社会学导论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02335110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科学与宗教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02335330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世界文明中的科学技术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02319160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生物学哲学导论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02332980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  <w:strike w:val="0"/>
                <w:dstrike w:val="0"/>
              </w:rPr>
            </w:pPr>
            <w:r>
              <w:rPr>
                <w:rFonts w:hint="eastAsia" w:ascii="Calibri" w:eastAsia="宋体" w:cs="Times New Roman"/>
                <w:strike w:val="0"/>
                <w:dstrike w:val="0"/>
              </w:rPr>
              <w:t>维特根斯坦哲学研究</w:t>
            </w:r>
          </w:p>
        </w:tc>
        <w:tc>
          <w:tcPr>
            <w:tcW w:w="1290" w:type="dxa"/>
          </w:tcPr>
          <w:p>
            <w:pPr>
              <w:rPr>
                <w:rFonts w:ascii="Calibri" w:eastAsia="楷体_GB2312" w:cs="Times New Roman"/>
                <w:strike w:val="0"/>
                <w:dstrike w:val="0"/>
              </w:rPr>
            </w:pPr>
            <w:r>
              <w:rPr>
                <w:rFonts w:hint="eastAsia" w:ascii="Calibri" w:eastAsia="楷体_GB2312" w:cs="Times New Roman"/>
                <w:strike w:val="0"/>
                <w:dstrike w:val="0"/>
              </w:rPr>
              <w:t>2</w:t>
            </w:r>
          </w:p>
        </w:tc>
        <w:tc>
          <w:tcPr>
            <w:tcW w:w="1290" w:type="dxa"/>
          </w:tcPr>
          <w:p>
            <w:pPr>
              <w:rPr>
                <w:rFonts w:ascii="Calibri" w:eastAsia="楷体_GB2312" w:cs="Times New Roman"/>
                <w:strike w:val="0"/>
                <w:dstrike w:val="0"/>
              </w:rPr>
            </w:pPr>
            <w:r>
              <w:rPr>
                <w:rFonts w:hint="eastAsia" w:ascii="Calibri" w:eastAsia="楷体_GB2312" w:cs="Times New Roman"/>
                <w:strike w:val="0"/>
                <w:dstrike w:val="0"/>
              </w:rPr>
              <w:t>2</w:t>
            </w:r>
          </w:p>
        </w:tc>
      </w:tr>
    </w:tbl>
    <w:p>
      <w:pPr>
        <w:pStyle w:val="12"/>
      </w:pPr>
    </w:p>
    <w:p>
      <w:pPr>
        <w:pStyle w:val="12"/>
        <w:ind w:firstLine="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逻辑学模块：8学分</w:t>
      </w:r>
    </w:p>
    <w:tbl>
      <w:tblPr>
        <w:tblStyle w:val="19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4300"/>
        <w:gridCol w:w="1572"/>
        <w:gridCol w:w="15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Calibri" w:eastAsia="宋体" w:cs="Times New Roman"/>
                <w:b/>
              </w:rPr>
            </w:pPr>
            <w:r>
              <w:rPr>
                <w:rFonts w:hint="eastAsia" w:ascii="Calibri" w:eastAsia="宋体" w:cs="Times New Roman"/>
                <w:b/>
              </w:rPr>
              <w:t>课号</w:t>
            </w:r>
          </w:p>
        </w:tc>
        <w:tc>
          <w:tcPr>
            <w:tcW w:w="3529" w:type="dxa"/>
            <w:vAlign w:val="center"/>
          </w:tcPr>
          <w:p>
            <w:pPr>
              <w:jc w:val="center"/>
              <w:rPr>
                <w:rFonts w:ascii="Calibri" w:eastAsia="宋体" w:cs="Times New Roman"/>
                <w:b/>
              </w:rPr>
            </w:pPr>
            <w:r>
              <w:rPr>
                <w:rFonts w:hint="eastAsia" w:ascii="Calibri" w:eastAsia="宋体" w:cs="Times New Roman"/>
                <w:b/>
              </w:rPr>
              <w:t>课程名称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Calibri" w:eastAsia="宋体" w:cs="Times New Roman"/>
                <w:b/>
              </w:rPr>
            </w:pPr>
            <w:r>
              <w:rPr>
                <w:rFonts w:hint="eastAsia" w:ascii="Calibri" w:eastAsia="宋体" w:cs="Times New Roman"/>
                <w:b/>
              </w:rPr>
              <w:t>学分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Calibri" w:eastAsia="宋体" w:cs="Times New Roman"/>
                <w:b/>
              </w:rPr>
            </w:pPr>
            <w:r>
              <w:rPr>
                <w:rFonts w:hint="eastAsia" w:ascii="Calibri" w:eastAsia="宋体" w:cs="Times New Roman"/>
                <w:b/>
              </w:rPr>
              <w:t>周学时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02331031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一阶逻辑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3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02315051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高级模态逻辑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4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楷体" w:cs="Times New Roman"/>
              </w:rPr>
            </w:pPr>
            <w:r>
              <w:rPr>
                <w:rFonts w:hint="eastAsia" w:ascii="Calibri" w:eastAsia="楷体" w:cs="Times New Roman"/>
              </w:rPr>
              <w:t>02315320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知识的逻辑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3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02331121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形式语义学导论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4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02331240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公理集合论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3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02331221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模型论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3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hint="eastAsia" w:ascii="Calibri" w:eastAsia="宋体" w:cs="Times New Roman"/>
              </w:rPr>
            </w:pPr>
            <w:r>
              <w:rPr>
                <w:rFonts w:hint="eastAsia" w:ascii="Times New Roman" w:hAnsi="Times New Roman" w:eastAsia="宋体" w:cs="Arial"/>
                <w:b w:val="0"/>
                <w:i w:val="0"/>
                <w:strike w:val="0"/>
                <w:dstrike w:val="0"/>
                <w:snapToGrid/>
                <w:color w:val="auto"/>
                <w:w w:val="100"/>
                <w:kern w:val="2"/>
                <w:sz w:val="21"/>
                <w:szCs w:val="21"/>
                <w:u w:val="none"/>
                <w:vertAlign w:val="baseline"/>
                <w:rtl w:val="0"/>
              </w:rPr>
              <w:t>02315031</w:t>
            </w:r>
          </w:p>
        </w:tc>
        <w:tc>
          <w:tcPr>
            <w:tcW w:w="3529" w:type="dxa"/>
          </w:tcPr>
          <w:p>
            <w:pPr>
              <w:rPr>
                <w:rFonts w:hint="eastAsia" w:ascii="Calibri" w:eastAsia="宋体" w:cs="Times New Roman"/>
              </w:rPr>
            </w:pPr>
            <w:r>
              <w:rPr>
                <w:rFonts w:hint="eastAsia" w:ascii="Times New Roman" w:hAnsi="Times New Roman" w:eastAsia="宋体" w:cs="Arial"/>
                <w:b w:val="0"/>
                <w:i w:val="0"/>
                <w:strike w:val="0"/>
                <w:dstrike w:val="0"/>
                <w:snapToGrid/>
                <w:color w:val="auto"/>
                <w:w w:val="100"/>
                <w:kern w:val="2"/>
                <w:sz w:val="21"/>
                <w:szCs w:val="21"/>
                <w:u w:val="none"/>
                <w:vertAlign w:val="baseline"/>
                <w:rtl w:val="0"/>
              </w:rPr>
              <w:t>递归论基础</w:t>
            </w:r>
          </w:p>
        </w:tc>
        <w:tc>
          <w:tcPr>
            <w:tcW w:w="1290" w:type="dxa"/>
          </w:tcPr>
          <w:p>
            <w:pPr>
              <w:rPr>
                <w:rFonts w:hint="eastAsia" w:ascii="Calibri" w:eastAsia="宋体" w:cs="Times New Roman"/>
              </w:rPr>
            </w:pPr>
            <w:r>
              <w:rPr>
                <w:rFonts w:hint="default" w:ascii="Calibri" w:eastAsia="宋体" w:cs="Times New Roman"/>
              </w:rPr>
              <w:t>3</w:t>
            </w:r>
          </w:p>
        </w:tc>
        <w:tc>
          <w:tcPr>
            <w:tcW w:w="1290" w:type="dxa"/>
          </w:tcPr>
          <w:p>
            <w:pPr>
              <w:rPr>
                <w:rFonts w:hint="eastAsia" w:ascii="Calibri" w:eastAsia="宋体" w:cs="Times New Roman"/>
              </w:rPr>
            </w:pPr>
            <w:r>
              <w:rPr>
                <w:rFonts w:hint="default" w:ascii="Calibri" w:eastAsia="宋体" w:cs="Times New Roma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ascii="Calibri" w:eastAsia="宋体" w:cs="Times New Roman"/>
              </w:rPr>
              <w:t>02331160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直觉主义逻辑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楷体" w:cs="Times New Roman"/>
              </w:rPr>
            </w:pPr>
            <w:r>
              <w:rPr>
                <w:rFonts w:ascii="Calibri" w:eastAsia="宋体" w:cs="Times New Roman"/>
              </w:rPr>
              <w:t>02331370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数学结构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default" w:ascii="Calibri" w:eastAsia="宋体" w:cs="Times New Roman"/>
              </w:rPr>
              <w:t>3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default" w:ascii="Calibri" w:eastAsia="宋体" w:cs="Times New Roma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楷体" w:cs="Times New Roman"/>
              </w:rPr>
            </w:pPr>
            <w:r>
              <w:rPr>
                <w:rFonts w:ascii="Calibri" w:eastAsia="楷体" w:cs="Times New Roman"/>
              </w:rPr>
              <w:t>02331100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逻辑哲学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3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楷体" w:cs="Times New Roman"/>
              </w:rPr>
            </w:pPr>
            <w:r>
              <w:rPr>
                <w:rFonts w:ascii="Calibri" w:eastAsia="楷体" w:cs="Times New Roman"/>
              </w:rPr>
              <w:t>02331181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逻辑史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3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楷体" w:cs="Times New Roman"/>
              </w:rPr>
            </w:pPr>
            <w:r>
              <w:rPr>
                <w:rFonts w:ascii="Calibri" w:eastAsia="楷体" w:cs="Times New Roman"/>
              </w:rPr>
              <w:t>02331271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悖论研究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3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楷体" w:cs="Times New Roman"/>
              </w:rPr>
            </w:pPr>
            <w:r>
              <w:rPr>
                <w:rFonts w:hint="eastAsia" w:ascii="Calibri" w:eastAsia="宋体" w:cs="Times New Roman"/>
              </w:rPr>
              <w:t>02331073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数理逻辑专题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楷体" w:cs="Times New Roman"/>
              </w:rPr>
            </w:pPr>
            <w:r>
              <w:rPr>
                <w:rFonts w:hint="eastAsia" w:ascii="Calibri" w:eastAsia="宋体" w:cs="Times New Roman"/>
              </w:rPr>
              <w:t>02331191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哲学逻辑专题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楷体" w:cs="Times New Roman"/>
              </w:rPr>
            </w:pPr>
            <w:r>
              <w:rPr>
                <w:rFonts w:ascii="Calibri" w:eastAsia="宋体" w:cs="Times New Roman"/>
              </w:rPr>
              <w:t>02331260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逻辑应用专题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楷体" w:cs="Times New Roman"/>
              </w:rPr>
            </w:pPr>
            <w:r>
              <w:rPr>
                <w:rFonts w:ascii="Calibri" w:eastAsia="宋体" w:cs="Times New Roman"/>
              </w:rPr>
              <w:t>02331360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数学哲学专题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76" w:type="dxa"/>
          </w:tcPr>
          <w:p>
            <w:pPr>
              <w:rPr>
                <w:rFonts w:ascii="Calibri" w:eastAsia="楷体" w:cs="Times New Roman"/>
              </w:rPr>
            </w:pPr>
            <w:r>
              <w:rPr>
                <w:rFonts w:ascii="Calibri" w:eastAsia="宋体" w:cs="Times New Roman"/>
              </w:rPr>
              <w:t>02331320</w:t>
            </w:r>
          </w:p>
        </w:tc>
        <w:tc>
          <w:tcPr>
            <w:tcW w:w="3529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逻辑史与逻辑哲学专题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  <w:tc>
          <w:tcPr>
            <w:tcW w:w="1290" w:type="dxa"/>
          </w:tcPr>
          <w:p>
            <w:pPr>
              <w:rPr>
                <w:rFonts w:ascii="Calibri" w:eastAsia="宋体" w:cs="Times New Roman"/>
              </w:rPr>
            </w:pPr>
            <w:r>
              <w:rPr>
                <w:rFonts w:hint="eastAsia" w:ascii="Calibri" w:eastAsia="宋体" w:cs="Times New Roman"/>
              </w:rPr>
              <w:t>2</w:t>
            </w:r>
          </w:p>
        </w:tc>
      </w:tr>
    </w:tbl>
    <w:p>
      <w:pPr>
        <w:spacing w:beforeAutospacing="0" w:afterAutospacing="0" w:line="360" w:lineRule="auto"/>
        <w:rPr>
          <w:rFonts w:hint="eastAsia" w:ascii="宋体" w:hAnsi="宋体"/>
          <w:sz w:val="24"/>
          <w:szCs w:val="24"/>
        </w:rPr>
      </w:pPr>
    </w:p>
    <w:p>
      <w:pPr>
        <w:numPr>
          <w:ilvl w:val="0"/>
          <w:numId w:val="1"/>
        </w:numPr>
        <w:spacing w:beforeAutospacing="0" w:afterAutospacing="0"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收费标准：</w:t>
      </w:r>
      <w:r>
        <w:rPr>
          <w:rFonts w:hint="eastAsia" w:ascii="宋体" w:hAnsi="宋体"/>
          <w:sz w:val="24"/>
          <w:szCs w:val="24"/>
        </w:rPr>
        <w:t>根据学校相关规定要求执行。本级双学位费用为100元/学分，每学期按选课学分数量一次交清，网上选课网上交费。具体交费时间请于每学期开学第二周登录教务部网站主页查询，不再另行通知，未在规定时间内进行交费的视为放弃选课（已选课程将被从选课名单中删除），后果自负。补退选时间同主修专业时间一致，学期中途退课，所交学费不予退还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报名方法时间、地点：</w:t>
      </w:r>
      <w:r>
        <w:rPr>
          <w:rFonts w:hint="eastAsia" w:ascii="宋体" w:hAnsi="宋体"/>
          <w:sz w:val="24"/>
          <w:szCs w:val="24"/>
        </w:rPr>
        <w:t>在学校规定的报名时间内网上报名，填写《修读双学位专业申请表》，向主修院系提交书面申请交哲学系教务办公室审批。</w:t>
      </w:r>
    </w:p>
    <w:p>
      <w:pPr>
        <w:spacing w:beforeAutospacing="0" w:afterAutospacing="0" w:line="360" w:lineRule="auto"/>
        <w:ind w:firstLine="360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报名时间：4月</w:t>
      </w:r>
      <w:r>
        <w:rPr>
          <w:rFonts w:ascii="宋体" w:hAnsi="宋体"/>
          <w:sz w:val="24"/>
          <w:szCs w:val="24"/>
        </w:rPr>
        <w:t>18</w:t>
      </w:r>
      <w:r>
        <w:rPr>
          <w:rFonts w:hint="eastAsia" w:ascii="宋体" w:hAnsi="宋体"/>
          <w:sz w:val="24"/>
          <w:szCs w:val="24"/>
        </w:rPr>
        <w:t>日至5月</w:t>
      </w:r>
      <w:r>
        <w:rPr>
          <w:rFonts w:ascii="宋体" w:hAnsi="宋体"/>
          <w:sz w:val="24"/>
          <w:szCs w:val="24"/>
        </w:rPr>
        <w:t>10</w:t>
      </w:r>
      <w:r>
        <w:rPr>
          <w:rFonts w:hint="eastAsia" w:ascii="宋体" w:hAnsi="宋体"/>
          <w:sz w:val="24"/>
          <w:szCs w:val="24"/>
        </w:rPr>
        <w:t>日</w:t>
      </w:r>
    </w:p>
    <w:p>
      <w:pPr>
        <w:spacing w:beforeAutospacing="0" w:afterAutospacing="0" w:line="360" w:lineRule="auto"/>
        <w:ind w:firstLine="360" w:firstLineChars="1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报名地点：李兆基人文学苑2号楼119房间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招生人数：</w:t>
      </w:r>
      <w:r>
        <w:rPr>
          <w:rFonts w:hint="default" w:ascii="宋体" w:hAnsi="宋体"/>
          <w:sz w:val="24"/>
          <w:szCs w:val="24"/>
        </w:rPr>
        <w:t>10</w:t>
      </w:r>
      <w:r>
        <w:rPr>
          <w:rFonts w:hint="eastAsia" w:ascii="宋体" w:hAnsi="宋体"/>
          <w:sz w:val="24"/>
          <w:szCs w:val="24"/>
        </w:rPr>
        <w:t>人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录取规则：</w:t>
      </w:r>
      <w:r>
        <w:rPr>
          <w:rFonts w:hint="eastAsia" w:ascii="宋体" w:hAnsi="宋体"/>
          <w:sz w:val="24"/>
          <w:szCs w:val="24"/>
        </w:rPr>
        <w:t>根据绩点，思想品德及各类处分等信息做出综合评价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公示网站</w:t>
      </w:r>
      <w:r>
        <w:rPr>
          <w:rFonts w:hint="eastAsia" w:ascii="宋体" w:hAnsi="宋体"/>
          <w:sz w:val="24"/>
          <w:szCs w:val="24"/>
        </w:rPr>
        <w:t>：</w:t>
      </w:r>
      <w:r>
        <w:fldChar w:fldCharType="begin"/>
      </w:r>
      <w:r>
        <w:instrText xml:space="preserve"> HYPERLINK "http://www.phil.pku.edu.cn" </w:instrText>
      </w:r>
      <w:r>
        <w:fldChar w:fldCharType="separate"/>
      </w:r>
      <w:r>
        <w:rPr>
          <w:rStyle w:val="16"/>
          <w:rFonts w:ascii="宋体" w:hAnsi="宋体"/>
          <w:color w:val="6DA0E3"/>
          <w:sz w:val="24"/>
          <w:szCs w:val="24"/>
        </w:rPr>
        <w:t>www.phil.pku.edu.cn</w:t>
      </w:r>
      <w:r>
        <w:rPr>
          <w:rStyle w:val="16"/>
          <w:rFonts w:ascii="宋体" w:hAnsi="宋体"/>
          <w:color w:val="6DA0E3"/>
          <w:sz w:val="24"/>
          <w:szCs w:val="24"/>
        </w:rPr>
        <w:fldChar w:fldCharType="end"/>
      </w:r>
    </w:p>
    <w:p>
      <w:pPr>
        <w:spacing w:beforeAutospacing="0" w:afterAutospacing="0" w:line="360" w:lineRule="auto"/>
        <w:ind w:left="360"/>
        <w:rPr>
          <w:rFonts w:ascii="宋体" w:hAnsi="宋体"/>
          <w:sz w:val="24"/>
          <w:szCs w:val="24"/>
        </w:rPr>
      </w:pPr>
    </w:p>
    <w:p>
      <w:pPr>
        <w:spacing w:beforeAutospacing="0" w:afterAutospacing="0" w:line="360" w:lineRule="auto"/>
        <w:ind w:firstLine="4920" w:firstLineChars="2050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北京大学哲学系</w:t>
      </w:r>
    </w:p>
    <w:p>
      <w:pPr>
        <w:spacing w:beforeAutospacing="0" w:afterAutospacing="0" w:line="360" w:lineRule="auto"/>
        <w:ind w:firstLine="5280" w:firstLineChars="220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202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default"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default" w:ascii="宋体" w:hAnsi="宋体"/>
          <w:sz w:val="24"/>
          <w:szCs w:val="24"/>
        </w:rPr>
        <w:t>2</w:t>
      </w:r>
      <w:r>
        <w:rPr>
          <w:rFonts w:hint="default"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日</w:t>
      </w:r>
    </w:p>
    <w:sectPr>
      <w:pgSz w:w="11906" w:h="16838"/>
      <w:pgMar w:top="709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66408"/>
    <w:multiLevelType w:val="multilevel"/>
    <w:tmpl w:val="62666408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2666413"/>
    <w:multiLevelType w:val="multilevel"/>
    <w:tmpl w:val="62666413"/>
    <w:lvl w:ilvl="0" w:tentative="0">
      <w:start w:val="1"/>
      <w:numFmt w:val="upperLetter"/>
      <w:lvlText w:val="%1、"/>
      <w:lvlJc w:val="left"/>
      <w:pPr>
        <w:ind w:left="795" w:hanging="435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6266641E"/>
    <w:multiLevelType w:val="multilevel"/>
    <w:tmpl w:val="6266641E"/>
    <w:lvl w:ilvl="0" w:tentative="0">
      <w:start w:val="1"/>
      <w:numFmt w:val="bullet"/>
      <w:lvlText w:val=""/>
      <w:lvlJc w:val="left"/>
      <w:pPr>
        <w:ind w:left="7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3">
    <w:nsid w:val="62666429"/>
    <w:multiLevelType w:val="multilevel"/>
    <w:tmpl w:val="62666429"/>
    <w:lvl w:ilvl="0" w:tentative="0">
      <w:start w:val="1"/>
      <w:numFmt w:val="bullet"/>
      <w:lvlText w:val="n"/>
      <w:lvlJc w:val="left"/>
      <w:pPr>
        <w:ind w:left="1215" w:hanging="420"/>
      </w:pPr>
      <w:rPr>
        <w:rFonts w:hint="default" w:ascii="Wingdings" w:hAnsi="Wingdings" w:eastAsia="Wingdings" w:cs="Wingdings"/>
        <w:b w:val="0"/>
        <w:i w:val="0"/>
      </w:rPr>
    </w:lvl>
    <w:lvl w:ilvl="1" w:tentative="0">
      <w:start w:val="1"/>
      <w:numFmt w:val="bullet"/>
      <w:lvlText w:val="n"/>
      <w:lvlJc w:val="left"/>
      <w:pPr>
        <w:ind w:left="1635" w:hanging="420"/>
      </w:pPr>
      <w:rPr>
        <w:rFonts w:hint="default" w:ascii="Wingdings" w:hAnsi="Wingdings" w:eastAsia="Wingdings" w:cs="Wingdings"/>
        <w:b w:val="0"/>
        <w:i w:val="0"/>
      </w:rPr>
    </w:lvl>
    <w:lvl w:ilvl="2" w:tentative="0">
      <w:start w:val="1"/>
      <w:numFmt w:val="bullet"/>
      <w:lvlText w:val="u"/>
      <w:lvlJc w:val="left"/>
      <w:pPr>
        <w:ind w:left="2055" w:hanging="420"/>
      </w:pPr>
      <w:rPr>
        <w:rFonts w:hint="default" w:ascii="Wingdings" w:hAnsi="Wingdings" w:eastAsia="Wingdings" w:cs="Wingdings"/>
        <w:b w:val="0"/>
        <w:i w:val="0"/>
      </w:rPr>
    </w:lvl>
    <w:lvl w:ilvl="3" w:tentative="0">
      <w:start w:val="1"/>
      <w:numFmt w:val="bullet"/>
      <w:lvlText w:val="l"/>
      <w:lvlJc w:val="left"/>
      <w:pPr>
        <w:ind w:left="2475" w:hanging="420"/>
      </w:pPr>
      <w:rPr>
        <w:rFonts w:hint="default" w:ascii="Wingdings" w:hAnsi="Wingdings" w:eastAsia="Wingdings" w:cs="Wingdings"/>
        <w:b w:val="0"/>
        <w:i w:val="0"/>
      </w:rPr>
    </w:lvl>
    <w:lvl w:ilvl="4" w:tentative="0">
      <w:start w:val="1"/>
      <w:numFmt w:val="bullet"/>
      <w:lvlText w:val="n"/>
      <w:lvlJc w:val="left"/>
      <w:pPr>
        <w:ind w:left="2895" w:hanging="420"/>
      </w:pPr>
      <w:rPr>
        <w:rFonts w:hint="default" w:ascii="Wingdings" w:hAnsi="Wingdings" w:eastAsia="Wingdings" w:cs="Wingdings"/>
        <w:b w:val="0"/>
        <w:i w:val="0"/>
      </w:rPr>
    </w:lvl>
    <w:lvl w:ilvl="5" w:tentative="0">
      <w:start w:val="1"/>
      <w:numFmt w:val="bullet"/>
      <w:lvlText w:val="u"/>
      <w:lvlJc w:val="left"/>
      <w:pPr>
        <w:ind w:left="3315" w:hanging="420"/>
      </w:pPr>
      <w:rPr>
        <w:rFonts w:hint="default" w:ascii="Wingdings" w:hAnsi="Wingdings" w:eastAsia="Wingdings" w:cs="Wingdings"/>
        <w:b w:val="0"/>
        <w:i w:val="0"/>
      </w:rPr>
    </w:lvl>
    <w:lvl w:ilvl="6" w:tentative="0">
      <w:start w:val="1"/>
      <w:numFmt w:val="bullet"/>
      <w:lvlText w:val="l"/>
      <w:lvlJc w:val="left"/>
      <w:pPr>
        <w:ind w:left="3735" w:hanging="420"/>
      </w:pPr>
      <w:rPr>
        <w:rFonts w:hint="default" w:ascii="Wingdings" w:hAnsi="Wingdings" w:eastAsia="Wingdings" w:cs="Wingdings"/>
        <w:b w:val="0"/>
        <w:i w:val="0"/>
      </w:rPr>
    </w:lvl>
    <w:lvl w:ilvl="7" w:tentative="0">
      <w:start w:val="1"/>
      <w:numFmt w:val="bullet"/>
      <w:lvlText w:val="n"/>
      <w:lvlJc w:val="left"/>
      <w:pPr>
        <w:ind w:left="4155" w:hanging="420"/>
      </w:pPr>
      <w:rPr>
        <w:rFonts w:hint="default" w:ascii="Wingdings" w:hAnsi="Wingdings" w:eastAsia="Wingdings" w:cs="Wingdings"/>
        <w:b w:val="0"/>
        <w:i w:val="0"/>
      </w:rPr>
    </w:lvl>
    <w:lvl w:ilvl="8" w:tentative="0">
      <w:start w:val="1"/>
      <w:numFmt w:val="bullet"/>
      <w:lvlText w:val="u"/>
      <w:lvlJc w:val="left"/>
      <w:pPr>
        <w:ind w:left="4575" w:hanging="420"/>
      </w:pPr>
      <w:rPr>
        <w:rFonts w:hint="default" w:ascii="Wingdings" w:hAnsi="Wingdings" w:eastAsia="Wingdings" w:cs="Wingdings"/>
        <w:b w:val="0"/>
        <w:i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E7F6944A"/>
    <w:rsid w:val="EBF75B81"/>
    <w:rsid w:val="FEFD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99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eastAsia="宋体" w:cs="Times New Roman" w:hAnsiTheme="majorHAns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beforeAutospacing="0" w:after="330" w:afterAutospacing="0" w:line="578" w:lineRule="auto"/>
      <w:outlineLvl w:val="0"/>
    </w:pPr>
    <w:rPr>
      <w:rFonts w:eastAsia="宋体" w:cs="Times New Roman"/>
      <w:b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autoSpaceDE w:val="0"/>
      <w:autoSpaceDN w:val="0"/>
      <w:spacing w:before="260" w:beforeAutospacing="0" w:after="260" w:afterAutospacing="0" w:line="416" w:lineRule="auto"/>
      <w:outlineLvl w:val="1"/>
    </w:pPr>
    <w:rPr>
      <w:rFonts w:ascii="Arial" w:hAnsi="Arial" w:eastAsia="黑体"/>
      <w:b/>
      <w:spacing w:val="10"/>
      <w:kern w:val="24"/>
      <w:sz w:val="32"/>
      <w:szCs w:val="32"/>
    </w:rPr>
  </w:style>
  <w:style w:type="character" w:default="1" w:styleId="14">
    <w:name w:val="Default Paragraph Font"/>
    <w:uiPriority w:val="0"/>
    <w:rPr>
      <w:rFonts w:hAnsiTheme="majorHAnsi"/>
    </w:rPr>
  </w:style>
  <w:style w:type="table" w:default="1" w:styleId="18">
    <w:name w:val="Normal Table"/>
    <w:uiPriority w:val="0"/>
    <w:rPr>
      <w:rFonts w:hAnsiTheme="majorHAns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32"/>
    <w:uiPriority w:val="99"/>
    <w:rPr>
      <w:rFonts w:eastAsia="宋体" w:cs="Times New Roman"/>
      <w:b/>
    </w:rPr>
  </w:style>
  <w:style w:type="paragraph" w:styleId="5">
    <w:name w:val="annotation text"/>
    <w:basedOn w:val="1"/>
    <w:link w:val="31"/>
    <w:uiPriority w:val="99"/>
    <w:pPr>
      <w:jc w:val="left"/>
    </w:pPr>
    <w:rPr>
      <w:rFonts w:eastAsia="宋体" w:cs="Times New Roman"/>
    </w:rPr>
  </w:style>
  <w:style w:type="paragraph" w:styleId="6">
    <w:name w:val="Body Text First Indent"/>
    <w:basedOn w:val="1"/>
    <w:link w:val="34"/>
    <w:qFormat/>
    <w:uiPriority w:val="99"/>
    <w:pPr>
      <w:widowControl/>
      <w:spacing w:beforeLines="100" w:beforeAutospacing="0" w:afterLines="100" w:afterAutospacing="0"/>
      <w:ind w:firstLine="480" w:firstLineChars="200"/>
      <w:jc w:val="left"/>
    </w:pPr>
    <w:rPr>
      <w:rFonts w:ascii="宋体"/>
      <w:color w:val="000000"/>
      <w:kern w:val="0"/>
      <w:sz w:val="24"/>
      <w:szCs w:val="24"/>
    </w:rPr>
  </w:style>
  <w:style w:type="paragraph" w:styleId="7">
    <w:name w:val="Body Text"/>
    <w:basedOn w:val="1"/>
    <w:link w:val="33"/>
    <w:qFormat/>
    <w:uiPriority w:val="99"/>
    <w:pPr>
      <w:spacing w:beforeAutospacing="0" w:after="120" w:afterAutospacing="0"/>
    </w:pPr>
    <w:rPr>
      <w:rFonts w:eastAsia="宋体" w:cs="Times New Roman"/>
    </w:rPr>
  </w:style>
  <w:style w:type="paragraph" w:styleId="8">
    <w:name w:val="Body Text Indent"/>
    <w:basedOn w:val="1"/>
    <w:link w:val="23"/>
    <w:uiPriority w:val="99"/>
    <w:pPr>
      <w:ind w:firstLine="359" w:firstLineChars="171"/>
    </w:pPr>
  </w:style>
  <w:style w:type="paragraph" w:styleId="9">
    <w:name w:val="Date"/>
    <w:basedOn w:val="1"/>
    <w:next w:val="1"/>
    <w:uiPriority w:val="0"/>
    <w:pPr>
      <w:ind w:left="100" w:leftChars="2500"/>
    </w:pPr>
    <w:rPr>
      <w:sz w:val="24"/>
      <w:szCs w:val="24"/>
    </w:rPr>
  </w:style>
  <w:style w:type="paragraph" w:styleId="10">
    <w:name w:val="Balloon Text"/>
    <w:basedOn w:val="1"/>
    <w:link w:val="22"/>
    <w:uiPriority w:val="99"/>
    <w:rPr>
      <w:sz w:val="18"/>
      <w:szCs w:val="18"/>
    </w:rPr>
  </w:style>
  <w:style w:type="paragraph" w:styleId="11">
    <w:name w:val="footer"/>
    <w:basedOn w:val="1"/>
    <w:link w:val="2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Body Text First Indent 2"/>
    <w:basedOn w:val="8"/>
    <w:link w:val="39"/>
    <w:uiPriority w:val="99"/>
    <w:pPr>
      <w:spacing w:beforeAutospacing="0" w:after="120" w:afterAutospacing="0"/>
      <w:ind w:left="420" w:leftChars="200" w:firstLine="420" w:firstLineChars="200"/>
    </w:pPr>
  </w:style>
  <w:style w:type="paragraph" w:styleId="13">
    <w:name w:val="header"/>
    <w:basedOn w:val="1"/>
    <w:link w:val="2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5">
    <w:name w:val="FollowedHyperlink"/>
    <w:uiPriority w:val="0"/>
    <w:rPr>
      <w:color w:val="800080"/>
      <w:u w:val="single"/>
    </w:rPr>
  </w:style>
  <w:style w:type="character" w:styleId="16">
    <w:name w:val="Hyperlink"/>
    <w:uiPriority w:val="0"/>
    <w:rPr>
      <w:color w:val="0563C1"/>
      <w:u w:val="single"/>
    </w:rPr>
  </w:style>
  <w:style w:type="character" w:styleId="17">
    <w:name w:val="annotation reference"/>
    <w:uiPriority w:val="99"/>
    <w:rPr>
      <w:sz w:val="21"/>
      <w:szCs w:val="21"/>
    </w:rPr>
  </w:style>
  <w:style w:type="table" w:styleId="19">
    <w:name w:val="Table Grid"/>
    <w:basedOn w:val="18"/>
    <w:qFormat/>
    <w:uiPriority w:val="39"/>
    <w:rPr>
      <w:rFonts w:ascii="Calibri" w:hAnsi="Calibri" w:eastAsia="宋体" w:cs="Times New Roman"/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页眉 字符"/>
    <w:link w:val="13"/>
    <w:uiPriority w:val="99"/>
    <w:rPr>
      <w:kern w:val="2"/>
      <w:sz w:val="18"/>
      <w:szCs w:val="18"/>
    </w:rPr>
  </w:style>
  <w:style w:type="character" w:customStyle="1" w:styleId="21">
    <w:name w:val="页脚 字符"/>
    <w:link w:val="11"/>
    <w:uiPriority w:val="99"/>
    <w:rPr>
      <w:kern w:val="2"/>
      <w:sz w:val="18"/>
      <w:szCs w:val="18"/>
    </w:rPr>
  </w:style>
  <w:style w:type="character" w:customStyle="1" w:styleId="22">
    <w:name w:val="批注框文本 字符"/>
    <w:link w:val="10"/>
    <w:uiPriority w:val="99"/>
    <w:rPr>
      <w:kern w:val="2"/>
      <w:sz w:val="18"/>
      <w:szCs w:val="18"/>
    </w:rPr>
  </w:style>
  <w:style w:type="character" w:customStyle="1" w:styleId="23">
    <w:name w:val="正文文本缩进 字符"/>
    <w:link w:val="8"/>
    <w:uiPriority w:val="99"/>
    <w:rPr>
      <w:kern w:val="2"/>
      <w:sz w:val="21"/>
      <w:szCs w:val="21"/>
    </w:rPr>
  </w:style>
  <w:style w:type="character" w:customStyle="1" w:styleId="24">
    <w:name w:val="正文首行缩进 2 字符"/>
    <w:basedOn w:val="23"/>
    <w:link w:val="12"/>
    <w:uiPriority w:val="99"/>
  </w:style>
  <w:style w:type="character" w:customStyle="1" w:styleId="25">
    <w:name w:val="标题 1 字符"/>
    <w:link w:val="2"/>
    <w:uiPriority w:val="9"/>
    <w:rPr>
      <w:b/>
      <w:kern w:val="44"/>
      <w:sz w:val="44"/>
      <w:szCs w:val="44"/>
    </w:rPr>
  </w:style>
  <w:style w:type="character" w:customStyle="1" w:styleId="26">
    <w:name w:val="标题 2 字符"/>
    <w:link w:val="3"/>
    <w:uiPriority w:val="0"/>
    <w:rPr>
      <w:rFonts w:ascii="Arial" w:hAnsi="Arial" w:eastAsia="黑体"/>
      <w:b/>
      <w:spacing w:val="10"/>
      <w:kern w:val="24"/>
      <w:sz w:val="32"/>
      <w:szCs w:val="32"/>
    </w:rPr>
  </w:style>
  <w:style w:type="paragraph" w:customStyle="1" w:styleId="27">
    <w:name w:val="List Paragraph"/>
    <w:basedOn w:val="1"/>
    <w:qFormat/>
    <w:uiPriority w:val="34"/>
    <w:pPr>
      <w:ind w:firstLine="420" w:firstLineChars="200"/>
    </w:pPr>
    <w:rPr>
      <w:rFonts w:eastAsia="宋体" w:cs="Times New Roman"/>
    </w:rPr>
  </w:style>
  <w:style w:type="character" w:customStyle="1" w:styleId="28">
    <w:name w:val="Intense Emphasis"/>
    <w:qFormat/>
    <w:uiPriority w:val="21"/>
    <w:rPr>
      <w:b/>
      <w:i/>
      <w:color w:val="4F81BD"/>
    </w:rPr>
  </w:style>
  <w:style w:type="paragraph" w:customStyle="1" w:styleId="29">
    <w:name w:val="院系目录"/>
    <w:basedOn w:val="2"/>
    <w:link w:val="30"/>
    <w:qFormat/>
    <w:uiPriority w:val="0"/>
    <w:pPr>
      <w:keepLines w:val="0"/>
      <w:widowControl/>
      <w:tabs>
        <w:tab w:val="left" w:pos="1276"/>
      </w:tabs>
      <w:spacing w:beforeLines="100" w:beforeAutospacing="0" w:afterLines="100" w:afterAutospacing="0" w:line="240" w:lineRule="auto"/>
      <w:jc w:val="center"/>
    </w:pPr>
    <w:rPr>
      <w:rFonts w:ascii="黑体" w:eastAsia="黑体"/>
      <w:b w:val="0"/>
      <w:kern w:val="0"/>
    </w:rPr>
  </w:style>
  <w:style w:type="character" w:customStyle="1" w:styleId="30">
    <w:name w:val="院系目录 Char"/>
    <w:link w:val="29"/>
    <w:uiPriority w:val="0"/>
    <w:rPr>
      <w:rFonts w:ascii="黑体" w:eastAsia="黑体"/>
      <w:sz w:val="44"/>
      <w:szCs w:val="44"/>
    </w:rPr>
  </w:style>
  <w:style w:type="character" w:customStyle="1" w:styleId="31">
    <w:name w:val="批注文字 字符"/>
    <w:link w:val="5"/>
    <w:uiPriority w:val="99"/>
    <w:rPr>
      <w:kern w:val="2"/>
      <w:sz w:val="21"/>
      <w:szCs w:val="21"/>
    </w:rPr>
  </w:style>
  <w:style w:type="character" w:customStyle="1" w:styleId="32">
    <w:name w:val="批注主题 字符"/>
    <w:link w:val="4"/>
    <w:uiPriority w:val="99"/>
    <w:rPr>
      <w:b/>
      <w:kern w:val="2"/>
      <w:sz w:val="21"/>
      <w:szCs w:val="21"/>
    </w:rPr>
  </w:style>
  <w:style w:type="character" w:customStyle="1" w:styleId="33">
    <w:name w:val="正文文本 字符"/>
    <w:link w:val="7"/>
    <w:qFormat/>
    <w:uiPriority w:val="99"/>
    <w:rPr>
      <w:kern w:val="2"/>
      <w:sz w:val="21"/>
      <w:szCs w:val="21"/>
    </w:rPr>
  </w:style>
  <w:style w:type="character" w:customStyle="1" w:styleId="34">
    <w:name w:val="正文首行缩进 字符"/>
    <w:link w:val="6"/>
    <w:qFormat/>
    <w:uiPriority w:val="99"/>
    <w:rPr>
      <w:rFonts w:ascii="宋体"/>
      <w:color w:val="000000"/>
      <w:kern w:val="2"/>
      <w:sz w:val="24"/>
      <w:szCs w:val="24"/>
    </w:rPr>
  </w:style>
  <w:style w:type="table" w:customStyle="1" w:styleId="35">
    <w:name w:val="网格型1"/>
    <w:basedOn w:val="18"/>
    <w:uiPriority w:val="39"/>
    <w:rPr>
      <w:rFonts w:ascii="Calibri" w:hAnsi="Calibri" w:eastAsia="宋体" w:cs="Times New Roman"/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">
    <w:name w:val="网格型2"/>
    <w:basedOn w:val="18"/>
    <w:uiPriority w:val="39"/>
    <w:rPr>
      <w:rFonts w:ascii="Calibri" w:hAnsi="Calibri" w:eastAsia="宋体" w:cs="Times New Roman"/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">
    <w:name w:val="网格型3"/>
    <w:basedOn w:val="18"/>
    <w:uiPriority w:val="39"/>
    <w:rPr>
      <w:rFonts w:ascii="Calibri" w:hAnsi="Calibri" w:eastAsia="宋体" w:cs="Times New Roman"/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8">
    <w:name w:val="Revision"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39">
    <w:name w:val="正文文本首行缩进 2 字符"/>
    <w:basedOn w:val="23"/>
    <w:link w:val="12"/>
    <w:uiPriority w:val="99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Office_3.9.3.6359_F1E327BC-269C-435d-A152-05C5408002CA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2022-04-25T16:36:00Z</dcterms:created>
  <dc:creator>Shimo</dc:creator>
  <cp:lastModifiedBy>yanjing</cp:lastModifiedBy>
  <dcterms:modified xsi:type="dcterms:W3CDTF">2022-04-25T16:42:59Z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